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4E768FE8">
      <w:pPr>
        <w:autoSpaceDE w:val="0"/>
        <w:autoSpaceDN w:val="0"/>
        <w:adjustRightInd w:val="0"/>
        <w:jc w:val="right"/>
        <w:rPr>
          <w:b/>
          <w:sz w:val="52"/>
          <w:szCs w:val="52"/>
          <w:lang w:val="zh-CN"/>
        </w:rPr>
      </w:pPr>
      <w:r>
        <w:rPr>
          <w:b/>
          <w:sz w:val="52"/>
          <w:szCs w:val="52"/>
          <w:lang w:val="zh-CN"/>
        </w:rPr>
        <w:fldChar w:fldCharType="begin"/>
      </w:r>
      <w:r>
        <w:rPr>
          <w:b/>
          <w:sz w:val="52"/>
          <w:szCs w:val="52"/>
          <w:lang w:val="zh-CN"/>
        </w:rPr>
        <w:instrText xml:space="preserve"> MACROBUTTON MTEditEquationSection2 </w:instrText>
      </w:r>
      <w:r>
        <w:rPr>
          <w:rStyle w:val="37"/>
          <w:rFonts w:hint="eastAsia" w:ascii="Times New Roman" w:hAnsi="Times New Roman" w:cs="Times New Roman"/>
        </w:rPr>
        <w:instrText xml:space="preserve">公式章</w:instrText>
      </w:r>
      <w:r>
        <w:rPr>
          <w:rStyle w:val="37"/>
          <w:rFonts w:ascii="Times New Roman" w:hAnsi="Times New Roman" w:cs="Times New Roman"/>
        </w:rPr>
        <w:instrText xml:space="preserve"> 1 节 1</w:instrText>
      </w:r>
      <w:r>
        <w:rPr>
          <w:b/>
          <w:sz w:val="52"/>
          <w:szCs w:val="52"/>
          <w:lang w:val="zh-CN"/>
        </w:rPr>
        <w:fldChar w:fldCharType="begin"/>
      </w:r>
      <w:r>
        <w:rPr>
          <w:b/>
          <w:sz w:val="52"/>
          <w:szCs w:val="52"/>
          <w:lang w:val="zh-CN"/>
        </w:rPr>
        <w:instrText xml:space="preserve"> SEQ MTEqn \r \h \* MERGEFORMAT </w:instrText>
      </w:r>
      <w:r>
        <w:rPr>
          <w:b/>
          <w:sz w:val="52"/>
          <w:szCs w:val="52"/>
          <w:lang w:val="zh-CN"/>
        </w:rPr>
        <w:fldChar w:fldCharType="end"/>
      </w:r>
      <w:r>
        <w:rPr>
          <w:b/>
          <w:sz w:val="52"/>
          <w:szCs w:val="52"/>
          <w:lang w:val="zh-CN"/>
        </w:rPr>
        <w:fldChar w:fldCharType="begin"/>
      </w:r>
      <w:r>
        <w:rPr>
          <w:b/>
          <w:sz w:val="52"/>
          <w:szCs w:val="52"/>
          <w:lang w:val="zh-CN"/>
        </w:rPr>
        <w:instrText xml:space="preserve"> SEQ MTSec \r 1 \h \* MERGEFORMAT </w:instrText>
      </w:r>
      <w:r>
        <w:rPr>
          <w:b/>
          <w:sz w:val="52"/>
          <w:szCs w:val="52"/>
          <w:lang w:val="zh-CN"/>
        </w:rPr>
        <w:fldChar w:fldCharType="end"/>
      </w:r>
      <w:r>
        <w:rPr>
          <w:b/>
          <w:sz w:val="52"/>
          <w:szCs w:val="52"/>
          <w:lang w:val="zh-CN"/>
        </w:rPr>
        <w:fldChar w:fldCharType="begin"/>
      </w:r>
      <w:r>
        <w:rPr>
          <w:b/>
          <w:sz w:val="52"/>
          <w:szCs w:val="52"/>
          <w:lang w:val="zh-CN"/>
        </w:rPr>
        <w:instrText xml:space="preserve"> SEQ MTChap \r 1 \h \* MERGEFORMAT </w:instrText>
      </w:r>
      <w:r>
        <w:rPr>
          <w:b/>
          <w:sz w:val="52"/>
          <w:szCs w:val="52"/>
          <w:lang w:val="zh-CN"/>
        </w:rPr>
        <w:fldChar w:fldCharType="end"/>
      </w:r>
      <w:r>
        <w:rPr>
          <w:b/>
          <w:sz w:val="52"/>
          <w:szCs w:val="52"/>
          <w:lang w:val="zh-CN"/>
        </w:rPr>
        <w:fldChar w:fldCharType="end"/>
      </w:r>
      <w:r>
        <w:rPr>
          <w:b/>
          <w:color w:val="000000" w:themeColor="text1"/>
          <w:sz w:val="30"/>
          <w:szCs w:val="30"/>
        </w:rPr>
        <w:drawing>
          <wp:inline distT="0" distB="0" distL="0" distR="0">
            <wp:extent cx="1743075" cy="75247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6"/>
                    <a:srcRect/>
                    <a:stretch>
                      <a:fillRect/>
                    </a:stretch>
                  </pic:blipFill>
                  <pic:spPr>
                    <a:xfrm>
                      <a:off x="0" y="0"/>
                      <a:ext cx="1743075" cy="752475"/>
                    </a:xfrm>
                    <a:prstGeom prst="rect">
                      <a:avLst/>
                    </a:prstGeom>
                    <a:noFill/>
                    <a:ln w="9525" cmpd="sng">
                      <a:noFill/>
                      <a:miter lim="800000"/>
                      <a:headEnd/>
                      <a:tailEnd/>
                    </a:ln>
                  </pic:spPr>
                </pic:pic>
              </a:graphicData>
            </a:graphic>
          </wp:inline>
        </w:drawing>
      </w:r>
    </w:p>
    <w:p w14:paraId="798E23EF">
      <w:pPr>
        <w:autoSpaceDE w:val="0"/>
        <w:autoSpaceDN w:val="0"/>
        <w:adjustRightInd w:val="0"/>
        <w:jc w:val="center"/>
        <w:rPr>
          <w:b/>
          <w:sz w:val="52"/>
          <w:szCs w:val="52"/>
        </w:rPr>
      </w:pPr>
      <w:r>
        <w:rPr>
          <w:rFonts w:hint="eastAsia"/>
          <w:b/>
          <w:sz w:val="52"/>
          <w:szCs w:val="52"/>
          <w:lang w:val="zh-CN"/>
        </w:rPr>
        <w:t>中华人民共和国国家计量技术规范</w:t>
      </w:r>
    </w:p>
    <w:p w14:paraId="13205AC3">
      <w:pPr>
        <w:autoSpaceDE w:val="0"/>
        <w:autoSpaceDN w:val="0"/>
        <w:adjustRightInd w:val="0"/>
        <w:ind w:right="220"/>
        <w:jc w:val="right"/>
        <w:rPr>
          <w:sz w:val="28"/>
          <w:szCs w:val="28"/>
        </w:rPr>
      </w:pPr>
      <w:r>
        <w:rPr>
          <w:rFonts w:eastAsia="黑体"/>
          <w:sz w:val="28"/>
          <w:szCs w:val="28"/>
        </w:rPr>
        <w:t>JJF XXXX—20XX</w:t>
      </w:r>
    </w:p>
    <w:p w14:paraId="4C9B44E3">
      <w:pPr>
        <w:autoSpaceDE w:val="0"/>
        <w:autoSpaceDN w:val="0"/>
        <w:adjustRightInd w:val="0"/>
        <w:rPr>
          <w:u w:val="single"/>
        </w:rPr>
      </w:pPr>
      <w:r>
        <w:pict>
          <v:line id="直接连接符 23" o:spid="_x0000_s2050" o:spt="20" style="position:absolute;left:0pt;margin-left:17.7pt;margin-top:11.3pt;height:2.85pt;width:403.65pt;z-index:251659264;mso-width-relative:page;mso-height-relative:page;" coordsize="21600,21600" o:gfxdata="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K8A5PXAAAACAEAAA8AAAAAAAAAAQAgAAAAIgAAAGRycy9kb3ducmV2LnhtbFBLAQIUABQAAAAI&#10;AIdO4kBFhHBC7gEAALoDAAAOAAAAAAAAAAEAIAAAACYBAABkcnMvZTJvRG9jLnhtbFBLBQYAAAAA&#10;BgAGAFkBAACGBQAAAAA=&#10;">
            <v:path arrowok="t"/>
            <v:fill focussize="0,0"/>
            <v:stroke/>
            <v:imagedata o:title=""/>
            <o:lock v:ext="edit"/>
          </v:line>
        </w:pict>
      </w:r>
    </w:p>
    <w:p w14:paraId="0944A342">
      <w:pPr>
        <w:autoSpaceDE w:val="0"/>
        <w:autoSpaceDN w:val="0"/>
        <w:adjustRightInd w:val="0"/>
        <w:rPr>
          <w:u w:val="single"/>
        </w:rPr>
      </w:pPr>
    </w:p>
    <w:p w14:paraId="44E243E4">
      <w:pPr>
        <w:autoSpaceDE w:val="0"/>
        <w:autoSpaceDN w:val="0"/>
        <w:adjustRightInd w:val="0"/>
        <w:rPr>
          <w:u w:val="single"/>
        </w:rPr>
      </w:pPr>
    </w:p>
    <w:p w14:paraId="71010A7E">
      <w:pPr>
        <w:autoSpaceDE w:val="0"/>
        <w:autoSpaceDN w:val="0"/>
        <w:adjustRightInd w:val="0"/>
        <w:rPr>
          <w:u w:val="single"/>
        </w:rPr>
      </w:pPr>
    </w:p>
    <w:p w14:paraId="0576F1E4">
      <w:pPr>
        <w:autoSpaceDE w:val="0"/>
        <w:autoSpaceDN w:val="0"/>
        <w:adjustRightInd w:val="0"/>
        <w:rPr>
          <w:u w:val="single"/>
        </w:rPr>
      </w:pPr>
    </w:p>
    <w:p w14:paraId="6AF0A2F8">
      <w:pPr>
        <w:autoSpaceDE w:val="0"/>
        <w:autoSpaceDN w:val="0"/>
        <w:adjustRightInd w:val="0"/>
        <w:rPr>
          <w:u w:val="single"/>
        </w:rPr>
      </w:pPr>
    </w:p>
    <w:tbl>
      <w:tblPr>
        <w:tblStyle w:val="20"/>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9757"/>
      </w:tblGrid>
      <w:tr w14:paraId="24C860E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c>
          <w:tcPr>
            <w:tcW w:w="9757" w:type="dxa"/>
          </w:tcPr>
          <w:p w14:paraId="67EC1527">
            <w:pPr>
              <w:spacing w:line="360" w:lineRule="auto"/>
              <w:jc w:val="center"/>
              <w:rPr>
                <w:rFonts w:eastAsia="黑体"/>
                <w:b/>
                <w:sz w:val="52"/>
                <w:szCs w:val="52"/>
              </w:rPr>
            </w:pPr>
            <w:r>
              <w:rPr>
                <w:rFonts w:eastAsia="黑体"/>
                <w:b/>
                <w:sz w:val="52"/>
              </w:rPr>
              <w:t>锂离子电池电芯热参数测试仪校准规范</w:t>
            </w:r>
          </w:p>
        </w:tc>
      </w:tr>
      <w:tr w14:paraId="0DB2696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c>
          <w:tcPr>
            <w:tcW w:w="9757" w:type="dxa"/>
          </w:tcPr>
          <w:p w14:paraId="392D1E3A">
            <w:pPr>
              <w:spacing w:line="360" w:lineRule="auto"/>
              <w:ind w:left="162" w:leftChars="77"/>
              <w:jc w:val="center"/>
              <w:rPr>
                <w:rFonts w:eastAsia="黑体"/>
                <w:sz w:val="28"/>
                <w:szCs w:val="28"/>
              </w:rPr>
            </w:pPr>
            <w:r>
              <w:rPr>
                <w:rFonts w:eastAsia="黑体"/>
                <w:sz w:val="28"/>
                <w:szCs w:val="30"/>
              </w:rPr>
              <w:t xml:space="preserve">Calibration Specification </w:t>
            </w:r>
            <w:r>
              <w:rPr>
                <w:rFonts w:hint="eastAsia" w:eastAsia="黑体"/>
                <w:sz w:val="28"/>
                <w:szCs w:val="30"/>
              </w:rPr>
              <w:t>for</w:t>
            </w:r>
            <w:r>
              <w:rPr>
                <w:rFonts w:eastAsia="黑体"/>
                <w:sz w:val="28"/>
                <w:szCs w:val="30"/>
              </w:rPr>
              <w:t xml:space="preserve"> Li-ion Battery Cell Thermal Parameter Testers</w:t>
            </w:r>
            <w:r>
              <w:rPr>
                <w:rFonts w:hint="eastAsia" w:eastAsia="黑体"/>
                <w:sz w:val="28"/>
                <w:szCs w:val="30"/>
              </w:rPr>
              <w:t xml:space="preserve"> </w:t>
            </w:r>
          </w:p>
        </w:tc>
      </w:tr>
    </w:tbl>
    <w:p w14:paraId="2D5FDA42">
      <w:pPr>
        <w:autoSpaceDE w:val="0"/>
        <w:autoSpaceDN w:val="0"/>
        <w:adjustRightInd w:val="0"/>
        <w:jc w:val="center"/>
        <w:rPr>
          <w:sz w:val="32"/>
          <w:szCs w:val="32"/>
        </w:rPr>
      </w:pPr>
      <w:r>
        <w:rPr>
          <w:rFonts w:hint="eastAsia"/>
          <w:sz w:val="32"/>
          <w:szCs w:val="32"/>
        </w:rPr>
        <w:t>（征求意见稿）</w:t>
      </w:r>
    </w:p>
    <w:p w14:paraId="20484072">
      <w:pPr>
        <w:autoSpaceDE w:val="0"/>
        <w:autoSpaceDN w:val="0"/>
        <w:adjustRightInd w:val="0"/>
        <w:jc w:val="center"/>
        <w:rPr>
          <w:sz w:val="32"/>
          <w:szCs w:val="32"/>
        </w:rPr>
      </w:pPr>
    </w:p>
    <w:p w14:paraId="773CD80D">
      <w:pPr>
        <w:autoSpaceDE w:val="0"/>
        <w:autoSpaceDN w:val="0"/>
        <w:adjustRightInd w:val="0"/>
        <w:jc w:val="center"/>
        <w:rPr>
          <w:sz w:val="32"/>
          <w:szCs w:val="32"/>
        </w:rPr>
      </w:pPr>
    </w:p>
    <w:p w14:paraId="4200F540">
      <w:pPr>
        <w:autoSpaceDE w:val="0"/>
        <w:autoSpaceDN w:val="0"/>
        <w:adjustRightInd w:val="0"/>
        <w:jc w:val="center"/>
        <w:rPr>
          <w:sz w:val="32"/>
          <w:szCs w:val="32"/>
        </w:rPr>
      </w:pPr>
    </w:p>
    <w:p w14:paraId="5E966903">
      <w:pPr>
        <w:spacing w:line="360" w:lineRule="auto"/>
        <w:ind w:left="1075" w:leftChars="207" w:hanging="640" w:hangingChars="200"/>
        <w:jc w:val="center"/>
        <w:rPr>
          <w:sz w:val="32"/>
          <w:szCs w:val="32"/>
        </w:rPr>
      </w:pPr>
    </w:p>
    <w:p w14:paraId="015DF7AF">
      <w:pPr>
        <w:spacing w:line="360" w:lineRule="auto"/>
        <w:ind w:left="1075" w:leftChars="207" w:hanging="640" w:hangingChars="200"/>
        <w:jc w:val="center"/>
        <w:rPr>
          <w:sz w:val="32"/>
          <w:szCs w:val="32"/>
        </w:rPr>
      </w:pPr>
    </w:p>
    <w:p w14:paraId="0A5ABDEC">
      <w:pPr>
        <w:spacing w:line="360" w:lineRule="auto"/>
        <w:ind w:left="1075" w:leftChars="207" w:hanging="640" w:hangingChars="200"/>
        <w:jc w:val="center"/>
        <w:rPr>
          <w:sz w:val="32"/>
          <w:szCs w:val="32"/>
        </w:rPr>
      </w:pPr>
    </w:p>
    <w:p w14:paraId="3FC0A113">
      <w:pPr>
        <w:spacing w:line="360" w:lineRule="auto"/>
        <w:ind w:left="1075" w:leftChars="207" w:hanging="640" w:hangingChars="200"/>
        <w:jc w:val="center"/>
        <w:rPr>
          <w:sz w:val="32"/>
          <w:szCs w:val="32"/>
        </w:rPr>
      </w:pPr>
    </w:p>
    <w:p w14:paraId="5516B049">
      <w:pPr>
        <w:spacing w:line="360" w:lineRule="auto"/>
        <w:ind w:left="1075" w:leftChars="207" w:hanging="640" w:hangingChars="200"/>
        <w:jc w:val="center"/>
        <w:rPr>
          <w:sz w:val="32"/>
          <w:szCs w:val="32"/>
        </w:rPr>
      </w:pPr>
    </w:p>
    <w:p w14:paraId="7D403670">
      <w:pPr>
        <w:spacing w:line="360" w:lineRule="auto"/>
        <w:ind w:left="1075" w:leftChars="207" w:hanging="640" w:hangingChars="200"/>
        <w:jc w:val="center"/>
        <w:rPr>
          <w:sz w:val="32"/>
          <w:szCs w:val="32"/>
        </w:rPr>
      </w:pPr>
    </w:p>
    <w:p w14:paraId="25F96401">
      <w:pPr>
        <w:spacing w:line="360" w:lineRule="auto"/>
        <w:ind w:left="995" w:leftChars="207" w:hanging="560" w:hangingChars="200"/>
        <w:jc w:val="center"/>
        <w:rPr>
          <w:sz w:val="28"/>
          <w:szCs w:val="28"/>
        </w:rPr>
      </w:pPr>
    </w:p>
    <w:p w14:paraId="50F87986">
      <w:pPr>
        <w:spacing w:line="360" w:lineRule="auto"/>
        <w:ind w:right="42" w:rightChars="20" w:firstLine="560" w:firstLineChars="200"/>
        <w:rPr>
          <w:rFonts w:eastAsia="黑体"/>
          <w:sz w:val="28"/>
          <w:szCs w:val="28"/>
        </w:rPr>
      </w:pPr>
      <w:r>
        <w:rPr>
          <w:rFonts w:eastAsia="黑体"/>
          <w:sz w:val="28"/>
          <w:szCs w:val="28"/>
        </w:rPr>
        <w:t>20</w:t>
      </w:r>
      <w:r>
        <w:rPr>
          <w:rFonts w:hint="eastAsia" w:eastAsia="黑体"/>
          <w:sz w:val="28"/>
          <w:szCs w:val="28"/>
        </w:rPr>
        <w:t>XX</w:t>
      </w:r>
      <w:r>
        <w:rPr>
          <w:rFonts w:eastAsia="黑体"/>
          <w:sz w:val="28"/>
          <w:szCs w:val="28"/>
        </w:rPr>
        <w:t>—ΧΧ—ΧΧ发布                 20</w:t>
      </w:r>
      <w:r>
        <w:rPr>
          <w:rFonts w:hint="eastAsia" w:eastAsia="黑体"/>
          <w:sz w:val="28"/>
          <w:szCs w:val="28"/>
        </w:rPr>
        <w:t>XX</w:t>
      </w:r>
      <w:r>
        <w:rPr>
          <w:rFonts w:eastAsia="黑体"/>
          <w:sz w:val="28"/>
          <w:szCs w:val="28"/>
        </w:rPr>
        <w:t>—××—××实施</w:t>
      </w:r>
    </w:p>
    <w:p w14:paraId="22D6113C">
      <w:pPr>
        <w:spacing w:line="360" w:lineRule="auto"/>
        <w:ind w:left="140" w:right="42" w:rightChars="20" w:hanging="140" w:hangingChars="50"/>
        <w:rPr>
          <w:sz w:val="28"/>
          <w:szCs w:val="28"/>
          <w:u w:val="thick"/>
        </w:rPr>
      </w:pPr>
      <w:r>
        <w:rPr>
          <w:sz w:val="28"/>
          <w:szCs w:val="28"/>
          <w:u w:val="thick"/>
        </w:rPr>
        <w:t xml:space="preserve">                                                                   </w:t>
      </w:r>
    </w:p>
    <w:p w14:paraId="18FBC4B4">
      <w:pPr>
        <w:spacing w:line="360" w:lineRule="auto"/>
        <w:ind w:left="266" w:right="206" w:rightChars="98" w:hanging="265" w:hangingChars="50"/>
        <w:jc w:val="center"/>
        <w:rPr>
          <w:sz w:val="32"/>
          <w:szCs w:val="32"/>
        </w:rPr>
      </w:pPr>
      <w:r>
        <w:rPr>
          <w:rFonts w:hint="eastAsia"/>
          <w:b/>
          <w:bCs/>
          <w:w w:val="120"/>
          <w:kern w:val="0"/>
          <w:sz w:val="44"/>
          <w:szCs w:val="44"/>
        </w:rPr>
        <w:t>国家市场监督管理总局</w:t>
      </w:r>
      <w:r>
        <w:rPr>
          <w:sz w:val="44"/>
          <w:szCs w:val="44"/>
        </w:rPr>
        <w:t xml:space="preserve"> </w:t>
      </w:r>
      <w:r>
        <w:rPr>
          <w:rFonts w:eastAsia="黑体"/>
          <w:sz w:val="28"/>
          <w:szCs w:val="28"/>
        </w:rPr>
        <w:t>发布</w:t>
      </w:r>
    </w:p>
    <w:p w14:paraId="66084505">
      <w:pPr>
        <w:autoSpaceDE w:val="0"/>
        <w:autoSpaceDN w:val="0"/>
        <w:adjustRightInd w:val="0"/>
        <w:jc w:val="center"/>
        <w:rPr>
          <w:sz w:val="44"/>
          <w:szCs w:val="44"/>
        </w:rPr>
        <w:sectPr>
          <w:headerReference r:id="rId5" w:type="first"/>
          <w:footerReference r:id="rId8" w:type="first"/>
          <w:headerReference r:id="rId3" w:type="default"/>
          <w:footerReference r:id="rId6" w:type="default"/>
          <w:headerReference r:id="rId4" w:type="even"/>
          <w:footerReference r:id="rId7" w:type="even"/>
          <w:pgSz w:w="12240" w:h="15840"/>
          <w:pgMar w:top="1440" w:right="1797" w:bottom="1440" w:left="1797" w:header="720" w:footer="720" w:gutter="0"/>
          <w:pgNumType w:start="1"/>
          <w:cols w:space="720" w:num="1"/>
          <w:titlePg/>
        </w:sectPr>
      </w:pPr>
    </w:p>
    <w:p w14:paraId="6F238005">
      <w:pPr>
        <w:spacing w:line="360" w:lineRule="auto"/>
        <w:ind w:firstLine="840"/>
        <w:rPr>
          <w:rFonts w:eastAsia="黑体"/>
          <w:b/>
          <w:spacing w:val="40"/>
          <w:sz w:val="44"/>
          <w:szCs w:val="44"/>
        </w:rPr>
      </w:pPr>
    </w:p>
    <w:p w14:paraId="4A0DFA67">
      <w:pPr>
        <w:spacing w:line="360" w:lineRule="auto"/>
        <w:jc w:val="left"/>
        <w:rPr>
          <w:rFonts w:eastAsia="黑体"/>
          <w:sz w:val="44"/>
          <w:szCs w:val="44"/>
        </w:rPr>
      </w:pPr>
      <w:r>
        <w:rPr>
          <w:rFonts w:eastAsia="黑体"/>
          <w:sz w:val="44"/>
          <w:szCs w:val="44"/>
        </w:rPr>
        <w:pict>
          <v:rect id="Rectangle 11" o:spid="_x0000_s2137" o:spt="1" style="position:absolute;left:0pt;margin-left:316.65pt;margin-top:6.4pt;height:63.75pt;width:115.3pt;z-index:251660288;v-text-anchor:middle;mso-width-relative:page;mso-height-relative:page;" coordsize="21600,21600" o:gfxdata="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qyhzv2QAAAAoBAAAPAAAAAAAAAAEAIAAAACIA&#10;AABkcnMvZG93bnJldi54bWxQSwECFAAUAAAACACHTuJAU1OevAgCAABKBAAADgAAAAAAAAABACAA&#10;AAAoAQAAZHJzL2Uyb0RvYy54bWxQSwUGAAAAAAYABgBZAQAAogUAAAAA&#10;">
            <v:path/>
            <v:fill focussize="0,0"/>
            <v:stroke weight="4.5pt" dashstyle="1 1" endcap="round"/>
            <v:imagedata o:title=""/>
            <o:lock v:ext="edit"/>
            <v:textbox>
              <w:txbxContent>
                <w:p w14:paraId="3CD4291A">
                  <w:pPr>
                    <w:jc w:val="center"/>
                    <w:textAlignment w:val="center"/>
                    <w:rPr>
                      <w:rFonts w:ascii="黑体" w:hAnsi="黑体" w:eastAsia="黑体"/>
                      <w:highlight w:val="yellow"/>
                    </w:rPr>
                  </w:pPr>
                  <w:r>
                    <w:rPr>
                      <w:rFonts w:ascii="黑体" w:hAnsi="黑体" w:eastAsia="黑体"/>
                      <w:sz w:val="28"/>
                      <w:szCs w:val="28"/>
                    </w:rPr>
                    <w:t>JJF XXX</w:t>
                  </w:r>
                  <w:r>
                    <w:rPr>
                      <w:rFonts w:hint="eastAsia" w:ascii="黑体" w:hAnsi="宋体" w:eastAsia="黑体"/>
                      <w:sz w:val="28"/>
                      <w:szCs w:val="28"/>
                    </w:rPr>
                    <w:t>—</w:t>
                  </w:r>
                  <w:r>
                    <w:rPr>
                      <w:rFonts w:ascii="黑体" w:hAnsi="黑体" w:eastAsia="黑体"/>
                      <w:sz w:val="28"/>
                      <w:szCs w:val="28"/>
                    </w:rPr>
                    <w:t>20XX</w:t>
                  </w:r>
                </w:p>
              </w:txbxContent>
            </v:textbox>
          </v:rect>
        </w:pict>
      </w:r>
      <w:r>
        <w:rPr>
          <w:rFonts w:hint="eastAsia" w:eastAsia="黑体"/>
          <w:sz w:val="44"/>
          <w:szCs w:val="44"/>
        </w:rPr>
        <w:t>锂离子电池电芯热参数测试仪</w:t>
      </w:r>
    </w:p>
    <w:p w14:paraId="62C3DF9F">
      <w:pPr>
        <w:spacing w:line="360" w:lineRule="auto"/>
        <w:jc w:val="left"/>
        <w:rPr>
          <w:rFonts w:eastAsia="黑体"/>
          <w:sz w:val="44"/>
          <w:szCs w:val="44"/>
        </w:rPr>
      </w:pPr>
      <w:r>
        <w:rPr>
          <w:rFonts w:eastAsia="黑体"/>
          <w:sz w:val="44"/>
          <w:szCs w:val="44"/>
        </w:rPr>
        <w:t>校准规范</w:t>
      </w:r>
    </w:p>
    <w:p w14:paraId="65268613">
      <w:pPr>
        <w:spacing w:line="360" w:lineRule="auto"/>
        <w:ind w:firstLine="560" w:firstLineChars="200"/>
        <w:jc w:val="left"/>
        <w:rPr>
          <w:rFonts w:eastAsia="黑体"/>
          <w:sz w:val="28"/>
          <w:szCs w:val="30"/>
        </w:rPr>
      </w:pPr>
      <w:r>
        <w:rPr>
          <w:rFonts w:eastAsia="黑体"/>
          <w:sz w:val="28"/>
          <w:szCs w:val="30"/>
        </w:rPr>
        <w:t xml:space="preserve">Calibration Specification </w:t>
      </w:r>
      <w:r>
        <w:rPr>
          <w:rFonts w:hint="eastAsia" w:eastAsia="黑体"/>
          <w:sz w:val="28"/>
          <w:szCs w:val="30"/>
        </w:rPr>
        <w:t>for</w:t>
      </w:r>
      <w:r>
        <w:rPr>
          <w:rFonts w:eastAsia="黑体"/>
          <w:sz w:val="28"/>
          <w:szCs w:val="30"/>
        </w:rPr>
        <w:t xml:space="preserve"> Li-ion Battery </w:t>
      </w:r>
    </w:p>
    <w:p w14:paraId="5DA9B42A">
      <w:pPr>
        <w:spacing w:line="360" w:lineRule="auto"/>
        <w:ind w:firstLine="560" w:firstLineChars="200"/>
        <w:jc w:val="left"/>
        <w:rPr>
          <w:rFonts w:eastAsia="黑体"/>
          <w:sz w:val="28"/>
          <w:szCs w:val="28"/>
        </w:rPr>
      </w:pPr>
      <w:r>
        <w:rPr>
          <w:rFonts w:eastAsia="黑体"/>
          <w:sz w:val="28"/>
          <w:szCs w:val="30"/>
        </w:rPr>
        <w:t>Cell Thermal Parameter Testers</w:t>
      </w:r>
    </w:p>
    <w:p w14:paraId="4F7092C9">
      <w:pPr>
        <w:spacing w:line="360" w:lineRule="auto"/>
        <w:rPr>
          <w:sz w:val="28"/>
          <w:szCs w:val="28"/>
          <w:u w:val="thick"/>
        </w:rPr>
      </w:pPr>
      <w:r>
        <w:rPr>
          <w:sz w:val="28"/>
          <w:szCs w:val="28"/>
          <w:u w:val="thick"/>
        </w:rPr>
        <w:t xml:space="preserve">                                                                   </w:t>
      </w:r>
    </w:p>
    <w:p w14:paraId="4FDDD552">
      <w:pPr>
        <w:spacing w:line="360" w:lineRule="auto"/>
        <w:ind w:firstLine="660"/>
        <w:rPr>
          <w:sz w:val="32"/>
          <w:szCs w:val="32"/>
        </w:rPr>
      </w:pPr>
    </w:p>
    <w:p w14:paraId="494DD1E8">
      <w:pPr>
        <w:spacing w:line="360" w:lineRule="auto"/>
        <w:ind w:firstLine="660"/>
        <w:rPr>
          <w:sz w:val="32"/>
          <w:szCs w:val="32"/>
        </w:rPr>
      </w:pPr>
    </w:p>
    <w:p w14:paraId="1FF375A5">
      <w:pPr>
        <w:spacing w:line="360" w:lineRule="auto"/>
        <w:ind w:firstLine="660"/>
        <w:rPr>
          <w:sz w:val="32"/>
          <w:szCs w:val="32"/>
        </w:rPr>
      </w:pPr>
    </w:p>
    <w:p w14:paraId="7BDD9A37">
      <w:pPr>
        <w:spacing w:line="360" w:lineRule="auto"/>
        <w:ind w:firstLine="660"/>
        <w:rPr>
          <w:sz w:val="32"/>
          <w:szCs w:val="32"/>
        </w:rPr>
      </w:pPr>
    </w:p>
    <w:p w14:paraId="7D5957A8">
      <w:pPr>
        <w:spacing w:line="360" w:lineRule="auto"/>
        <w:ind w:firstLine="660"/>
        <w:rPr>
          <w:sz w:val="32"/>
          <w:szCs w:val="32"/>
        </w:rPr>
      </w:pPr>
      <w:r>
        <w:rPr>
          <w:rFonts w:eastAsia="黑体"/>
          <w:spacing w:val="100"/>
          <w:sz w:val="28"/>
          <w:szCs w:val="32"/>
        </w:rPr>
        <w:t>归口单</w:t>
      </w:r>
      <w:r>
        <w:rPr>
          <w:rFonts w:eastAsia="黑体"/>
          <w:sz w:val="28"/>
          <w:szCs w:val="32"/>
        </w:rPr>
        <w:t>位：</w:t>
      </w:r>
      <w:r>
        <w:rPr>
          <w:rFonts w:hint="eastAsia"/>
          <w:sz w:val="28"/>
          <w:szCs w:val="28"/>
          <w:lang w:val="zh-CN"/>
        </w:rPr>
        <w:t>全国</w:t>
      </w:r>
      <w:r>
        <w:rPr>
          <w:rFonts w:hint="eastAsia"/>
          <w:sz w:val="28"/>
          <w:szCs w:val="28"/>
        </w:rPr>
        <w:t>新材料与纳米</w:t>
      </w:r>
      <w:r>
        <w:rPr>
          <w:rFonts w:hint="eastAsia"/>
          <w:sz w:val="28"/>
          <w:szCs w:val="28"/>
          <w:lang w:val="zh-CN"/>
        </w:rPr>
        <w:t>计量技术委员会</w:t>
      </w:r>
    </w:p>
    <w:p w14:paraId="2A6FFC08">
      <w:pPr>
        <w:spacing w:line="360" w:lineRule="auto"/>
        <w:ind w:firstLine="660"/>
        <w:rPr>
          <w:rFonts w:hAnsi="宋体"/>
          <w:sz w:val="28"/>
          <w:szCs w:val="28"/>
        </w:rPr>
      </w:pPr>
      <w:r>
        <w:rPr>
          <w:rFonts w:eastAsia="黑体"/>
          <w:sz w:val="28"/>
          <w:szCs w:val="32"/>
        </w:rPr>
        <w:t>主要起草单位：</w:t>
      </w:r>
    </w:p>
    <w:p w14:paraId="7F6FEB53">
      <w:pPr>
        <w:spacing w:line="360" w:lineRule="auto"/>
        <w:rPr>
          <w:rFonts w:hAnsi="宋体"/>
          <w:sz w:val="28"/>
          <w:szCs w:val="28"/>
        </w:rPr>
      </w:pPr>
      <w:r>
        <w:rPr>
          <w:rFonts w:hint="eastAsia" w:hAnsi="宋体"/>
          <w:sz w:val="28"/>
          <w:szCs w:val="28"/>
        </w:rPr>
        <w:t xml:space="preserve">                   </w:t>
      </w:r>
    </w:p>
    <w:p w14:paraId="24C44B46">
      <w:pPr>
        <w:spacing w:line="360" w:lineRule="auto"/>
        <w:ind w:firstLine="660"/>
        <w:rPr>
          <w:rFonts w:eastAsia="黑体"/>
          <w:sz w:val="28"/>
          <w:szCs w:val="32"/>
        </w:rPr>
      </w:pPr>
      <w:r>
        <w:rPr>
          <w:rFonts w:eastAsia="黑体"/>
          <w:sz w:val="28"/>
          <w:szCs w:val="32"/>
        </w:rPr>
        <w:t>参加起草单位：</w:t>
      </w:r>
    </w:p>
    <w:p w14:paraId="73660704">
      <w:pPr>
        <w:spacing w:line="360" w:lineRule="auto"/>
        <w:ind w:firstLine="2618" w:firstLineChars="935"/>
        <w:rPr>
          <w:rFonts w:eastAsia="黑体"/>
          <w:sz w:val="28"/>
          <w:szCs w:val="32"/>
        </w:rPr>
      </w:pPr>
    </w:p>
    <w:p w14:paraId="35D129E0">
      <w:pPr>
        <w:spacing w:line="360" w:lineRule="auto"/>
        <w:ind w:firstLine="3040" w:firstLineChars="950"/>
        <w:jc w:val="left"/>
        <w:rPr>
          <w:sz w:val="32"/>
          <w:szCs w:val="32"/>
        </w:rPr>
      </w:pPr>
      <w:bookmarkStart w:id="137" w:name="_GoBack"/>
      <w:bookmarkEnd w:id="137"/>
      <w:r>
        <w:rPr>
          <w:sz w:val="32"/>
          <w:szCs w:val="32"/>
        </w:rPr>
        <w:t xml:space="preserve">      </w:t>
      </w:r>
    </w:p>
    <w:p w14:paraId="180B220C">
      <w:pPr>
        <w:spacing w:line="360" w:lineRule="auto"/>
        <w:ind w:firstLine="660"/>
        <w:rPr>
          <w:sz w:val="32"/>
          <w:szCs w:val="32"/>
        </w:rPr>
      </w:pPr>
    </w:p>
    <w:p w14:paraId="7F9299C0">
      <w:pPr>
        <w:autoSpaceDE w:val="0"/>
        <w:autoSpaceDN w:val="0"/>
        <w:adjustRightInd w:val="0"/>
        <w:spacing w:line="360" w:lineRule="auto"/>
        <w:ind w:left="559" w:firstLine="1120"/>
        <w:rPr>
          <w:sz w:val="28"/>
          <w:szCs w:val="28"/>
        </w:rPr>
      </w:pPr>
    </w:p>
    <w:p w14:paraId="2E36F0DB">
      <w:pPr>
        <w:autoSpaceDE w:val="0"/>
        <w:autoSpaceDN w:val="0"/>
        <w:adjustRightInd w:val="0"/>
        <w:ind w:left="559" w:firstLine="1120"/>
        <w:rPr>
          <w:sz w:val="28"/>
          <w:szCs w:val="28"/>
        </w:rPr>
      </w:pPr>
    </w:p>
    <w:p w14:paraId="42517D2D">
      <w:pPr>
        <w:autoSpaceDE w:val="0"/>
        <w:autoSpaceDN w:val="0"/>
        <w:adjustRightInd w:val="0"/>
        <w:ind w:left="559" w:firstLine="1120"/>
        <w:rPr>
          <w:sz w:val="28"/>
          <w:szCs w:val="28"/>
        </w:rPr>
      </w:pPr>
    </w:p>
    <w:p w14:paraId="5826DD30">
      <w:pPr>
        <w:autoSpaceDE w:val="0"/>
        <w:autoSpaceDN w:val="0"/>
        <w:adjustRightInd w:val="0"/>
        <w:ind w:left="559" w:firstLine="1120"/>
        <w:rPr>
          <w:sz w:val="28"/>
          <w:szCs w:val="28"/>
        </w:rPr>
      </w:pPr>
    </w:p>
    <w:p w14:paraId="1FE09625">
      <w:pPr>
        <w:autoSpaceDE w:val="0"/>
        <w:autoSpaceDN w:val="0"/>
        <w:adjustRightInd w:val="0"/>
        <w:ind w:left="559" w:firstLine="1120"/>
        <w:rPr>
          <w:sz w:val="28"/>
          <w:szCs w:val="28"/>
        </w:rPr>
      </w:pPr>
    </w:p>
    <w:p w14:paraId="784D3809">
      <w:pPr>
        <w:autoSpaceDE w:val="0"/>
        <w:autoSpaceDN w:val="0"/>
        <w:adjustRightInd w:val="0"/>
        <w:ind w:left="559" w:firstLine="1120"/>
        <w:rPr>
          <w:sz w:val="28"/>
          <w:szCs w:val="28"/>
        </w:rPr>
      </w:pPr>
    </w:p>
    <w:p w14:paraId="095DBA6D">
      <w:pPr>
        <w:autoSpaceDE w:val="0"/>
        <w:autoSpaceDN w:val="0"/>
        <w:adjustRightInd w:val="0"/>
        <w:ind w:left="559" w:firstLine="1120"/>
        <w:rPr>
          <w:sz w:val="28"/>
          <w:szCs w:val="28"/>
        </w:rPr>
      </w:pPr>
    </w:p>
    <w:p w14:paraId="0B81AED6">
      <w:pPr>
        <w:spacing w:line="360" w:lineRule="auto"/>
        <w:ind w:firstLine="660"/>
        <w:rPr>
          <w:sz w:val="28"/>
          <w:szCs w:val="28"/>
        </w:rPr>
      </w:pPr>
      <w:r>
        <w:rPr>
          <w:rFonts w:hint="eastAsia"/>
          <w:sz w:val="28"/>
          <w:szCs w:val="28"/>
          <w:lang w:val="zh-CN"/>
        </w:rPr>
        <w:t>本规范委托全国</w:t>
      </w:r>
      <w:r>
        <w:rPr>
          <w:rFonts w:hint="eastAsia"/>
          <w:sz w:val="28"/>
          <w:szCs w:val="28"/>
        </w:rPr>
        <w:t>新材料与纳米</w:t>
      </w:r>
      <w:r>
        <w:rPr>
          <w:rFonts w:hint="eastAsia"/>
          <w:sz w:val="28"/>
          <w:szCs w:val="28"/>
          <w:lang w:val="zh-CN"/>
        </w:rPr>
        <w:t>计量技术委员会负责解释</w:t>
      </w:r>
    </w:p>
    <w:p w14:paraId="783A7F10">
      <w:pPr>
        <w:autoSpaceDE w:val="0"/>
        <w:autoSpaceDN w:val="0"/>
        <w:adjustRightInd w:val="0"/>
        <w:spacing w:line="360" w:lineRule="auto"/>
        <w:ind w:firstLine="420"/>
        <w:rPr>
          <w:sz w:val="28"/>
          <w:szCs w:val="28"/>
          <w:lang w:val="zh-CN"/>
        </w:rPr>
      </w:pPr>
    </w:p>
    <w:p w14:paraId="1C68A55F">
      <w:pPr>
        <w:spacing w:line="360" w:lineRule="auto"/>
        <w:ind w:firstLine="420" w:firstLineChars="150"/>
        <w:rPr>
          <w:rFonts w:eastAsia="黑体"/>
          <w:sz w:val="28"/>
          <w:szCs w:val="32"/>
        </w:rPr>
      </w:pPr>
      <w:r>
        <w:rPr>
          <w:rFonts w:eastAsia="黑体"/>
          <w:sz w:val="28"/>
          <w:szCs w:val="32"/>
        </w:rPr>
        <w:t>本规范主要起草人：</w:t>
      </w:r>
    </w:p>
    <w:p w14:paraId="11B7C6E9">
      <w:pPr>
        <w:spacing w:line="360" w:lineRule="auto"/>
        <w:ind w:firstLine="1274" w:firstLineChars="455"/>
        <w:rPr>
          <w:rFonts w:ascii="宋体" w:hAnsi="宋体" w:cs="宋体"/>
          <w:sz w:val="28"/>
        </w:rPr>
      </w:pPr>
    </w:p>
    <w:p w14:paraId="4EE14EEE">
      <w:pPr>
        <w:spacing w:line="360" w:lineRule="auto"/>
        <w:ind w:firstLine="1274" w:firstLineChars="455"/>
        <w:rPr>
          <w:rFonts w:ascii="宋体" w:hAnsi="宋体" w:cs="宋体"/>
          <w:sz w:val="28"/>
        </w:rPr>
      </w:pPr>
    </w:p>
    <w:p w14:paraId="03DC0DA1">
      <w:pPr>
        <w:spacing w:line="360" w:lineRule="auto"/>
        <w:ind w:firstLine="1274" w:firstLineChars="455"/>
        <w:rPr>
          <w:rFonts w:ascii="宋体" w:hAnsi="宋体" w:cs="宋体"/>
          <w:sz w:val="28"/>
        </w:rPr>
      </w:pPr>
    </w:p>
    <w:p w14:paraId="034E21FF">
      <w:pPr>
        <w:spacing w:line="360" w:lineRule="auto"/>
        <w:ind w:firstLine="1279" w:firstLineChars="455"/>
        <w:rPr>
          <w:sz w:val="28"/>
          <w:szCs w:val="32"/>
        </w:rPr>
      </w:pPr>
      <w:r>
        <w:rPr>
          <w:rFonts w:hAnsi="宋体"/>
          <w:b/>
          <w:sz w:val="28"/>
          <w:szCs w:val="32"/>
        </w:rPr>
        <w:t>参加起草人</w:t>
      </w:r>
      <w:r>
        <w:rPr>
          <w:rFonts w:hAnsi="宋体"/>
          <w:sz w:val="28"/>
          <w:szCs w:val="32"/>
        </w:rPr>
        <w:t>：</w:t>
      </w:r>
    </w:p>
    <w:p w14:paraId="0376B5E6">
      <w:pPr>
        <w:spacing w:line="360" w:lineRule="auto"/>
        <w:ind w:firstLine="1274" w:firstLineChars="455"/>
        <w:rPr>
          <w:rFonts w:ascii="宋体" w:hAnsi="宋体" w:cs="宋体"/>
          <w:sz w:val="28"/>
        </w:rPr>
      </w:pPr>
    </w:p>
    <w:p w14:paraId="69B3C808">
      <w:pPr>
        <w:spacing w:line="360" w:lineRule="auto"/>
        <w:ind w:firstLine="1274" w:firstLineChars="455"/>
        <w:rPr>
          <w:rFonts w:ascii="宋体" w:hAnsi="宋体" w:cs="宋体"/>
          <w:sz w:val="28"/>
        </w:rPr>
      </w:pPr>
    </w:p>
    <w:p w14:paraId="110BDE72">
      <w:pPr>
        <w:spacing w:line="360" w:lineRule="auto"/>
        <w:ind w:firstLine="1274" w:firstLineChars="455"/>
        <w:rPr>
          <w:rFonts w:ascii="宋体" w:hAnsi="宋体" w:cs="宋体"/>
          <w:sz w:val="28"/>
        </w:rPr>
      </w:pPr>
    </w:p>
    <w:p w14:paraId="32090A93">
      <w:pPr>
        <w:spacing w:line="360" w:lineRule="auto"/>
        <w:ind w:firstLine="1456" w:firstLineChars="455"/>
        <w:rPr>
          <w:sz w:val="32"/>
          <w:szCs w:val="32"/>
        </w:rPr>
      </w:pPr>
    </w:p>
    <w:p w14:paraId="779CDB46">
      <w:pPr>
        <w:autoSpaceDE w:val="0"/>
        <w:autoSpaceDN w:val="0"/>
        <w:adjustRightInd w:val="0"/>
        <w:spacing w:line="360" w:lineRule="auto"/>
        <w:rPr>
          <w:rFonts w:ascii="宋体" w:hAnsi="宋体" w:cs="宋体"/>
          <w:sz w:val="32"/>
          <w:szCs w:val="32"/>
          <w:lang w:val="zh-CN"/>
        </w:rPr>
        <w:sectPr>
          <w:footerReference r:id="rId10" w:type="first"/>
          <w:footerReference r:id="rId9" w:type="default"/>
          <w:pgSz w:w="12240" w:h="15840"/>
          <w:pgMar w:top="1440" w:right="1797" w:bottom="1440" w:left="1797" w:header="720" w:footer="720" w:gutter="0"/>
          <w:cols w:space="720" w:num="1"/>
          <w:titlePg/>
        </w:sectPr>
      </w:pPr>
      <w:r>
        <w:rPr>
          <w:rFonts w:hint="eastAsia" w:ascii="宋体" w:hAnsi="宋体" w:cs="宋体"/>
          <w:sz w:val="28"/>
          <w:szCs w:val="28"/>
          <w:lang w:val="zh-CN"/>
        </w:rPr>
        <w:tab/>
      </w:r>
      <w:r>
        <w:rPr>
          <w:rFonts w:hint="eastAsia" w:ascii="宋体" w:hAnsi="宋体" w:cs="宋体"/>
          <w:sz w:val="28"/>
          <w:szCs w:val="28"/>
          <w:lang w:val="zh-CN"/>
        </w:rPr>
        <w:tab/>
      </w:r>
    </w:p>
    <w:p w14:paraId="2E709577">
      <w:pPr>
        <w:autoSpaceDE w:val="0"/>
        <w:autoSpaceDN w:val="0"/>
        <w:adjustRightInd w:val="0"/>
        <w:spacing w:line="360" w:lineRule="auto"/>
        <w:jc w:val="center"/>
        <w:rPr>
          <w:sz w:val="44"/>
          <w:szCs w:val="44"/>
          <w:lang w:val="zh-CN"/>
        </w:rPr>
      </w:pPr>
      <w:r>
        <w:rPr>
          <w:sz w:val="44"/>
          <w:szCs w:val="44"/>
          <w:lang w:val="zh-CN"/>
        </w:rPr>
        <w:t>目   录</w:t>
      </w:r>
    </w:p>
    <w:p w14:paraId="36C647EF">
      <w:pPr>
        <w:autoSpaceDE w:val="0"/>
        <w:autoSpaceDN w:val="0"/>
        <w:adjustRightInd w:val="0"/>
        <w:spacing w:line="360" w:lineRule="auto"/>
        <w:jc w:val="center"/>
        <w:rPr>
          <w:b/>
          <w:sz w:val="24"/>
          <w:lang w:val="zh-CN"/>
        </w:rPr>
      </w:pPr>
    </w:p>
    <w:p w14:paraId="2629D9B8">
      <w:pPr>
        <w:pStyle w:val="16"/>
        <w:rPr>
          <w:rFonts w:asciiTheme="minorHAnsi" w:hAnsiTheme="minorHAnsi" w:eastAsiaTheme="minorEastAsia" w:cstheme="minorBidi"/>
          <w:szCs w:val="22"/>
        </w:rPr>
      </w:pPr>
      <w:r>
        <w:rPr>
          <w:sz w:val="24"/>
          <w:lang w:val="zh-CN"/>
        </w:rPr>
        <w:fldChar w:fldCharType="begin"/>
      </w:r>
      <w:r>
        <w:rPr>
          <w:sz w:val="24"/>
          <w:lang w:val="zh-CN"/>
        </w:rPr>
        <w:instrText xml:space="preserve"> TOC \o "1-3" \h \z \u </w:instrText>
      </w:r>
      <w:r>
        <w:rPr>
          <w:sz w:val="24"/>
          <w:lang w:val="zh-CN"/>
        </w:rPr>
        <w:fldChar w:fldCharType="separate"/>
      </w:r>
      <w:r>
        <w:fldChar w:fldCharType="begin"/>
      </w:r>
      <w:r>
        <w:instrText xml:space="preserve"> HYPERLINK \l "_Toc184839091" </w:instrText>
      </w:r>
      <w:r>
        <w:fldChar w:fldCharType="separate"/>
      </w:r>
      <w:r>
        <w:rPr>
          <w:rStyle w:val="25"/>
          <w:rFonts w:hint="eastAsia"/>
          <w:lang w:val="zh-CN"/>
        </w:rPr>
        <w:t>引 言</w:t>
      </w:r>
      <w:r>
        <w:rPr>
          <w:rFonts w:hint="eastAsia"/>
        </w:rPr>
        <w:tab/>
      </w:r>
      <w:r>
        <w:rPr>
          <w:rFonts w:hint="eastAsia"/>
        </w:rPr>
        <w:fldChar w:fldCharType="begin"/>
      </w:r>
      <w:r>
        <w:rPr>
          <w:rFonts w:hint="eastAsia"/>
        </w:rPr>
        <w:instrText xml:space="preserve"> </w:instrText>
      </w:r>
      <w:r>
        <w:instrText xml:space="preserve">PAGEREF _Toc184839091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475A1586">
      <w:pPr>
        <w:pStyle w:val="16"/>
        <w:rPr>
          <w:rFonts w:asciiTheme="minorHAnsi" w:hAnsiTheme="minorHAnsi" w:eastAsiaTheme="minorEastAsia" w:cstheme="minorBidi"/>
          <w:szCs w:val="22"/>
        </w:rPr>
      </w:pPr>
      <w:r>
        <w:fldChar w:fldCharType="begin"/>
      </w:r>
      <w:r>
        <w:instrText xml:space="preserve"> HYPERLINK \l "_Toc184839092" </w:instrText>
      </w:r>
      <w:r>
        <w:fldChar w:fldCharType="separate"/>
      </w:r>
      <w:r>
        <w:rPr>
          <w:rStyle w:val="25"/>
          <w:rFonts w:hint="eastAsia" w:eastAsia="黑体"/>
        </w:rPr>
        <w:t xml:space="preserve">1 </w:t>
      </w:r>
      <w:r>
        <w:rPr>
          <w:rStyle w:val="25"/>
          <w:rFonts w:hint="eastAsia" w:eastAsia="黑体"/>
          <w:lang w:val="zh-CN"/>
        </w:rPr>
        <w:t>范围</w:t>
      </w:r>
      <w:r>
        <w:rPr>
          <w:rFonts w:hint="eastAsia"/>
        </w:rPr>
        <w:tab/>
      </w:r>
      <w:r>
        <w:rPr>
          <w:rFonts w:hint="eastAsia"/>
        </w:rPr>
        <w:t>3</w:t>
      </w:r>
      <w:r>
        <w:rPr>
          <w:rFonts w:hint="eastAsia"/>
        </w:rPr>
        <w:fldChar w:fldCharType="end"/>
      </w:r>
    </w:p>
    <w:p w14:paraId="6DD4ADFA">
      <w:pPr>
        <w:pStyle w:val="16"/>
        <w:rPr>
          <w:rFonts w:asciiTheme="minorHAnsi" w:hAnsiTheme="minorHAnsi" w:eastAsiaTheme="minorEastAsia" w:cstheme="minorBidi"/>
          <w:szCs w:val="22"/>
        </w:rPr>
      </w:pPr>
      <w:r>
        <w:fldChar w:fldCharType="begin"/>
      </w:r>
      <w:r>
        <w:instrText xml:space="preserve"> HYPERLINK \l "_Toc184839093" </w:instrText>
      </w:r>
      <w:r>
        <w:fldChar w:fldCharType="separate"/>
      </w:r>
      <w:r>
        <w:rPr>
          <w:rStyle w:val="25"/>
          <w:rFonts w:hint="eastAsia" w:eastAsia="黑体"/>
        </w:rPr>
        <w:t>2 引用文件</w:t>
      </w:r>
      <w:r>
        <w:rPr>
          <w:rFonts w:hint="eastAsia"/>
        </w:rPr>
        <w:tab/>
      </w:r>
      <w:r>
        <w:rPr>
          <w:rFonts w:hint="eastAsia"/>
        </w:rPr>
        <w:t>3</w:t>
      </w:r>
      <w:r>
        <w:rPr>
          <w:rFonts w:hint="eastAsia"/>
        </w:rPr>
        <w:fldChar w:fldCharType="end"/>
      </w:r>
    </w:p>
    <w:p w14:paraId="00A2905F">
      <w:pPr>
        <w:pStyle w:val="16"/>
        <w:rPr>
          <w:rFonts w:asciiTheme="minorHAnsi" w:hAnsiTheme="minorHAnsi" w:eastAsiaTheme="minorEastAsia" w:cstheme="minorBidi"/>
          <w:szCs w:val="22"/>
        </w:rPr>
      </w:pPr>
      <w:r>
        <w:fldChar w:fldCharType="begin"/>
      </w:r>
      <w:r>
        <w:instrText xml:space="preserve"> HYPERLINK \l "_Toc184839094" </w:instrText>
      </w:r>
      <w:r>
        <w:fldChar w:fldCharType="separate"/>
      </w:r>
      <w:r>
        <w:rPr>
          <w:rStyle w:val="25"/>
          <w:rFonts w:hint="eastAsia" w:eastAsia="黑体"/>
        </w:rPr>
        <w:t>3术语</w:t>
      </w:r>
      <w:r>
        <w:rPr>
          <w:rFonts w:hint="eastAsia"/>
        </w:rPr>
        <w:tab/>
      </w:r>
      <w:r>
        <w:rPr>
          <w:rFonts w:hint="eastAsia"/>
        </w:rPr>
        <w:t>3</w:t>
      </w:r>
      <w:r>
        <w:rPr>
          <w:rFonts w:hint="eastAsia"/>
        </w:rPr>
        <w:fldChar w:fldCharType="end"/>
      </w:r>
    </w:p>
    <w:p w14:paraId="2493B12A">
      <w:pPr>
        <w:pStyle w:val="17"/>
        <w:rPr>
          <w:rFonts w:asciiTheme="minorHAnsi" w:hAnsiTheme="minorHAnsi" w:eastAsiaTheme="minorEastAsia" w:cstheme="minorBidi"/>
          <w:szCs w:val="22"/>
        </w:rPr>
      </w:pPr>
      <w:r>
        <w:fldChar w:fldCharType="begin"/>
      </w:r>
      <w:r>
        <w:instrText xml:space="preserve"> HYPERLINK \l "_Toc184839095" </w:instrText>
      </w:r>
      <w:r>
        <w:fldChar w:fldCharType="separate"/>
      </w:r>
      <w:r>
        <w:rPr>
          <w:rStyle w:val="25"/>
          <w:rFonts w:hint="eastAsia"/>
        </w:rPr>
        <w:t>3.1 自放热温升速率</w:t>
      </w:r>
      <w:r>
        <w:rPr>
          <w:rFonts w:hint="eastAsia"/>
        </w:rPr>
        <w:tab/>
      </w:r>
      <w:r>
        <w:rPr>
          <w:rFonts w:hint="eastAsia"/>
        </w:rPr>
        <w:t>3</w:t>
      </w:r>
      <w:r>
        <w:rPr>
          <w:rFonts w:hint="eastAsia"/>
        </w:rPr>
        <w:fldChar w:fldCharType="end"/>
      </w:r>
    </w:p>
    <w:p w14:paraId="3888CB91">
      <w:pPr>
        <w:pStyle w:val="17"/>
        <w:rPr>
          <w:rFonts w:asciiTheme="minorHAnsi" w:hAnsiTheme="minorHAnsi" w:eastAsiaTheme="minorEastAsia" w:cstheme="minorBidi"/>
          <w:szCs w:val="22"/>
        </w:rPr>
      </w:pPr>
      <w:r>
        <w:fldChar w:fldCharType="begin"/>
      </w:r>
      <w:r>
        <w:instrText xml:space="preserve"> HYPERLINK \l "_Toc184839096" </w:instrText>
      </w:r>
      <w:r>
        <w:fldChar w:fldCharType="separate"/>
      </w:r>
      <w:r>
        <w:rPr>
          <w:rStyle w:val="25"/>
          <w:rFonts w:hint="eastAsia"/>
        </w:rPr>
        <w:t>3.2 温度波动</w:t>
      </w:r>
      <w:r>
        <w:rPr>
          <w:rFonts w:hint="eastAsia"/>
        </w:rPr>
        <w:tab/>
      </w:r>
      <w:r>
        <w:rPr>
          <w:rFonts w:hint="eastAsia"/>
        </w:rPr>
        <w:t>3</w:t>
      </w:r>
      <w:r>
        <w:rPr>
          <w:rFonts w:hint="eastAsia"/>
        </w:rPr>
        <w:fldChar w:fldCharType="end"/>
      </w:r>
    </w:p>
    <w:p w14:paraId="3C8428DC">
      <w:pPr>
        <w:pStyle w:val="17"/>
        <w:rPr>
          <w:rFonts w:asciiTheme="minorHAnsi" w:hAnsiTheme="minorHAnsi" w:eastAsiaTheme="minorEastAsia" w:cstheme="minorBidi"/>
          <w:szCs w:val="22"/>
        </w:rPr>
      </w:pPr>
      <w:r>
        <w:fldChar w:fldCharType="begin"/>
      </w:r>
      <w:r>
        <w:instrText xml:space="preserve"> HYPERLINK \l "_Toc184839097" </w:instrText>
      </w:r>
      <w:r>
        <w:fldChar w:fldCharType="separate"/>
      </w:r>
      <w:r>
        <w:rPr>
          <w:rStyle w:val="25"/>
          <w:rFonts w:hint="eastAsia"/>
        </w:rPr>
        <w:t>3.3 标准样块</w:t>
      </w:r>
      <w:r>
        <w:rPr>
          <w:rFonts w:hint="eastAsia"/>
        </w:rPr>
        <w:tab/>
      </w:r>
      <w:r>
        <w:rPr>
          <w:rFonts w:hint="eastAsia"/>
        </w:rPr>
        <w:t>3</w:t>
      </w:r>
      <w:r>
        <w:rPr>
          <w:rFonts w:hint="eastAsia"/>
        </w:rPr>
        <w:fldChar w:fldCharType="end"/>
      </w:r>
    </w:p>
    <w:p w14:paraId="220391D8">
      <w:pPr>
        <w:pStyle w:val="16"/>
        <w:rPr>
          <w:rFonts w:asciiTheme="minorHAnsi" w:hAnsiTheme="minorHAnsi" w:eastAsiaTheme="minorEastAsia" w:cstheme="minorBidi"/>
          <w:szCs w:val="22"/>
        </w:rPr>
      </w:pPr>
      <w:r>
        <w:fldChar w:fldCharType="begin"/>
      </w:r>
      <w:r>
        <w:instrText xml:space="preserve"> HYPERLINK \l "_Toc184839098" </w:instrText>
      </w:r>
      <w:r>
        <w:fldChar w:fldCharType="separate"/>
      </w:r>
      <w:r>
        <w:rPr>
          <w:rStyle w:val="25"/>
          <w:rFonts w:hint="eastAsia" w:eastAsia="黑体"/>
        </w:rPr>
        <w:t>4 概述</w:t>
      </w:r>
      <w:r>
        <w:rPr>
          <w:rFonts w:hint="eastAsia"/>
        </w:rPr>
        <w:tab/>
      </w:r>
      <w:r>
        <w:rPr>
          <w:rFonts w:hint="eastAsia"/>
        </w:rPr>
        <w:t>4</w:t>
      </w:r>
      <w:r>
        <w:rPr>
          <w:rFonts w:hint="eastAsia"/>
        </w:rPr>
        <w:fldChar w:fldCharType="end"/>
      </w:r>
    </w:p>
    <w:p w14:paraId="35D9E3A7">
      <w:pPr>
        <w:pStyle w:val="16"/>
        <w:rPr>
          <w:rFonts w:asciiTheme="minorHAnsi" w:hAnsiTheme="minorHAnsi" w:eastAsiaTheme="minorEastAsia" w:cstheme="minorBidi"/>
          <w:szCs w:val="22"/>
        </w:rPr>
      </w:pPr>
      <w:r>
        <w:fldChar w:fldCharType="begin"/>
      </w:r>
      <w:r>
        <w:instrText xml:space="preserve"> HYPERLINK \l "_Toc184839099" </w:instrText>
      </w:r>
      <w:r>
        <w:fldChar w:fldCharType="separate"/>
      </w:r>
      <w:r>
        <w:rPr>
          <w:rStyle w:val="25"/>
          <w:rFonts w:hint="eastAsia" w:eastAsia="黑体"/>
        </w:rPr>
        <w:t>5 计量特性</w:t>
      </w:r>
      <w:r>
        <w:rPr>
          <w:rFonts w:hint="eastAsia"/>
        </w:rPr>
        <w:tab/>
      </w:r>
      <w:r>
        <w:rPr>
          <w:rFonts w:hint="eastAsia"/>
        </w:rPr>
        <w:t>4</w:t>
      </w:r>
      <w:r>
        <w:rPr>
          <w:rFonts w:hint="eastAsia"/>
        </w:rPr>
        <w:fldChar w:fldCharType="end"/>
      </w:r>
    </w:p>
    <w:p w14:paraId="7F4FA70D">
      <w:pPr>
        <w:pStyle w:val="17"/>
        <w:rPr>
          <w:rFonts w:asciiTheme="minorHAnsi" w:hAnsiTheme="minorHAnsi" w:eastAsiaTheme="minorEastAsia" w:cstheme="minorBidi"/>
          <w:szCs w:val="22"/>
        </w:rPr>
      </w:pPr>
      <w:r>
        <w:fldChar w:fldCharType="begin"/>
      </w:r>
      <w:r>
        <w:instrText xml:space="preserve"> HYPERLINK \l "_Toc184839100" </w:instrText>
      </w:r>
      <w:r>
        <w:fldChar w:fldCharType="separate"/>
      </w:r>
      <w:r>
        <w:rPr>
          <w:rStyle w:val="25"/>
          <w:rFonts w:hint="eastAsia"/>
        </w:rPr>
        <w:t>5.1 自放热检测灵敏度</w:t>
      </w:r>
      <w:r>
        <w:rPr>
          <w:rFonts w:hint="eastAsia"/>
        </w:rPr>
        <w:tab/>
      </w:r>
      <w:r>
        <w:rPr>
          <w:rFonts w:hint="eastAsia"/>
        </w:rPr>
        <w:t>4</w:t>
      </w:r>
      <w:r>
        <w:rPr>
          <w:rFonts w:hint="eastAsia"/>
        </w:rPr>
        <w:fldChar w:fldCharType="end"/>
      </w:r>
    </w:p>
    <w:p w14:paraId="15BD0BA1">
      <w:pPr>
        <w:pStyle w:val="17"/>
        <w:rPr>
          <w:rFonts w:asciiTheme="minorHAnsi" w:hAnsiTheme="minorHAnsi" w:eastAsiaTheme="minorEastAsia" w:cstheme="minorBidi"/>
          <w:szCs w:val="22"/>
        </w:rPr>
      </w:pPr>
      <w:r>
        <w:fldChar w:fldCharType="begin"/>
      </w:r>
      <w:r>
        <w:instrText xml:space="preserve"> HYPERLINK \l "_Toc184839103" </w:instrText>
      </w:r>
      <w:r>
        <w:fldChar w:fldCharType="separate"/>
      </w:r>
      <w:r>
        <w:rPr>
          <w:rStyle w:val="25"/>
          <w:rFonts w:hint="eastAsia"/>
        </w:rPr>
        <w:t>5.2 样品充放电产热量相对误差</w:t>
      </w:r>
      <w:r>
        <w:rPr>
          <w:rFonts w:hint="eastAsia"/>
        </w:rPr>
        <w:tab/>
      </w:r>
      <w:r>
        <w:rPr>
          <w:rFonts w:hint="eastAsia"/>
        </w:rPr>
        <w:t>4</w:t>
      </w:r>
      <w:r>
        <w:rPr>
          <w:rFonts w:hint="eastAsia"/>
        </w:rPr>
        <w:fldChar w:fldCharType="end"/>
      </w:r>
    </w:p>
    <w:p w14:paraId="06B4CAC6">
      <w:pPr>
        <w:pStyle w:val="17"/>
        <w:rPr>
          <w:rFonts w:asciiTheme="minorHAnsi" w:hAnsiTheme="minorHAnsi" w:eastAsiaTheme="minorEastAsia" w:cstheme="minorBidi"/>
          <w:szCs w:val="22"/>
        </w:rPr>
      </w:pPr>
      <w:r>
        <w:fldChar w:fldCharType="begin"/>
      </w:r>
      <w:r>
        <w:instrText xml:space="preserve"> HYPERLINK \l "_Toc184839106" </w:instrText>
      </w:r>
      <w:r>
        <w:fldChar w:fldCharType="separate"/>
      </w:r>
      <w:r>
        <w:rPr>
          <w:rStyle w:val="25"/>
          <w:rFonts w:hint="eastAsia"/>
        </w:rPr>
        <w:t>5.3 温度示值误差</w:t>
      </w:r>
      <w:r>
        <w:rPr>
          <w:rFonts w:hint="eastAsia"/>
        </w:rPr>
        <w:tab/>
      </w:r>
      <w:r>
        <w:rPr>
          <w:rFonts w:hint="eastAsia"/>
        </w:rPr>
        <w:t>4</w:t>
      </w:r>
      <w:r>
        <w:rPr>
          <w:rFonts w:hint="eastAsia"/>
        </w:rPr>
        <w:fldChar w:fldCharType="end"/>
      </w:r>
    </w:p>
    <w:p w14:paraId="445882CD">
      <w:pPr>
        <w:pStyle w:val="17"/>
        <w:rPr>
          <w:rFonts w:asciiTheme="minorHAnsi" w:hAnsiTheme="minorHAnsi" w:eastAsiaTheme="minorEastAsia" w:cstheme="minorBidi"/>
          <w:szCs w:val="22"/>
        </w:rPr>
      </w:pPr>
      <w:r>
        <w:fldChar w:fldCharType="begin"/>
      </w:r>
      <w:r>
        <w:instrText xml:space="preserve"> HYPERLINK \l "_Toc184839108" </w:instrText>
      </w:r>
      <w:r>
        <w:fldChar w:fldCharType="separate"/>
      </w:r>
      <w:r>
        <w:rPr>
          <w:rStyle w:val="25"/>
          <w:rFonts w:hint="eastAsia"/>
        </w:rPr>
        <w:t>5.4 温度波动度</w:t>
      </w:r>
      <w:r>
        <w:rPr>
          <w:rFonts w:hint="eastAsia"/>
        </w:rPr>
        <w:tab/>
      </w:r>
      <w:r>
        <w:rPr>
          <w:rFonts w:hint="eastAsia"/>
        </w:rPr>
        <w:t>5</w:t>
      </w:r>
      <w:r>
        <w:rPr>
          <w:rFonts w:hint="eastAsia"/>
        </w:rPr>
        <w:fldChar w:fldCharType="end"/>
      </w:r>
    </w:p>
    <w:p w14:paraId="6360FDCD">
      <w:pPr>
        <w:pStyle w:val="16"/>
        <w:rPr>
          <w:rFonts w:asciiTheme="minorHAnsi" w:hAnsiTheme="minorHAnsi" w:eastAsiaTheme="minorEastAsia" w:cstheme="minorBidi"/>
          <w:szCs w:val="22"/>
        </w:rPr>
      </w:pPr>
      <w:r>
        <w:fldChar w:fldCharType="begin"/>
      </w:r>
      <w:r>
        <w:instrText xml:space="preserve"> HYPERLINK \l "_Toc184839111" </w:instrText>
      </w:r>
      <w:r>
        <w:fldChar w:fldCharType="separate"/>
      </w:r>
      <w:r>
        <w:rPr>
          <w:rStyle w:val="25"/>
          <w:rFonts w:hint="eastAsia" w:eastAsia="黑体"/>
        </w:rPr>
        <w:t>6 校准条件</w:t>
      </w:r>
      <w:r>
        <w:rPr>
          <w:rFonts w:hint="eastAsia"/>
        </w:rPr>
        <w:tab/>
      </w:r>
      <w:r>
        <w:rPr>
          <w:rFonts w:hint="eastAsia"/>
        </w:rPr>
        <w:t>8</w:t>
      </w:r>
      <w:r>
        <w:rPr>
          <w:rFonts w:hint="eastAsia"/>
        </w:rPr>
        <w:fldChar w:fldCharType="end"/>
      </w:r>
    </w:p>
    <w:p w14:paraId="44F1C717">
      <w:pPr>
        <w:pStyle w:val="17"/>
        <w:rPr>
          <w:rFonts w:asciiTheme="minorHAnsi" w:hAnsiTheme="minorHAnsi" w:eastAsiaTheme="minorEastAsia" w:cstheme="minorBidi"/>
          <w:szCs w:val="22"/>
        </w:rPr>
      </w:pPr>
      <w:r>
        <w:fldChar w:fldCharType="begin"/>
      </w:r>
      <w:r>
        <w:instrText xml:space="preserve"> HYPERLINK \l "_Toc184839112" </w:instrText>
      </w:r>
      <w:r>
        <w:fldChar w:fldCharType="separate"/>
      </w:r>
      <w:r>
        <w:rPr>
          <w:rStyle w:val="25"/>
          <w:rFonts w:hint="eastAsia"/>
        </w:rPr>
        <w:t>6.1 环境条件</w:t>
      </w:r>
      <w:r>
        <w:rPr>
          <w:rFonts w:hint="eastAsia"/>
        </w:rPr>
        <w:tab/>
      </w:r>
      <w:r>
        <w:rPr>
          <w:rFonts w:hint="eastAsia"/>
        </w:rPr>
        <w:t>5</w:t>
      </w:r>
      <w:r>
        <w:rPr>
          <w:rFonts w:hint="eastAsia"/>
        </w:rPr>
        <w:fldChar w:fldCharType="end"/>
      </w:r>
    </w:p>
    <w:p w14:paraId="3C2FE8E8">
      <w:pPr>
        <w:pStyle w:val="17"/>
        <w:rPr>
          <w:rFonts w:asciiTheme="minorHAnsi" w:hAnsiTheme="minorHAnsi" w:eastAsiaTheme="minorEastAsia" w:cstheme="minorBidi"/>
          <w:szCs w:val="22"/>
        </w:rPr>
      </w:pPr>
      <w:r>
        <w:fldChar w:fldCharType="begin"/>
      </w:r>
      <w:r>
        <w:instrText xml:space="preserve"> HYPERLINK \l "_Toc184839113" </w:instrText>
      </w:r>
      <w:r>
        <w:fldChar w:fldCharType="separate"/>
      </w:r>
      <w:r>
        <w:rPr>
          <w:rStyle w:val="25"/>
          <w:rFonts w:hint="eastAsia"/>
        </w:rPr>
        <w:t>6.2 计量标准器及主要配套设备</w:t>
      </w:r>
      <w:r>
        <w:rPr>
          <w:rFonts w:hint="eastAsia"/>
        </w:rPr>
        <w:tab/>
      </w:r>
      <w:r>
        <w:rPr>
          <w:rFonts w:hint="eastAsia"/>
        </w:rPr>
        <w:t>5</w:t>
      </w:r>
      <w:r>
        <w:rPr>
          <w:rFonts w:hint="eastAsia"/>
        </w:rPr>
        <w:fldChar w:fldCharType="end"/>
      </w:r>
    </w:p>
    <w:p w14:paraId="7CE678C8">
      <w:pPr>
        <w:pStyle w:val="16"/>
        <w:tabs>
          <w:tab w:val="left" w:pos="222"/>
        </w:tabs>
        <w:rPr>
          <w:rFonts w:asciiTheme="minorHAnsi" w:hAnsiTheme="minorHAnsi" w:eastAsiaTheme="minorEastAsia" w:cstheme="minorBidi"/>
          <w:szCs w:val="22"/>
        </w:rPr>
      </w:pPr>
      <w:r>
        <w:fldChar w:fldCharType="begin"/>
      </w:r>
      <w:r>
        <w:instrText xml:space="preserve"> HYPERLINK \l "_Toc184839115" </w:instrText>
      </w:r>
      <w:r>
        <w:fldChar w:fldCharType="separate"/>
      </w:r>
      <w:r>
        <w:rPr>
          <w:rStyle w:val="25"/>
          <w:rFonts w:hint="eastAsia" w:eastAsia="黑体"/>
        </w:rPr>
        <w:t>7</w:t>
      </w:r>
      <w:r>
        <w:rPr>
          <w:rFonts w:hint="eastAsia" w:asciiTheme="minorHAnsi" w:hAnsiTheme="minorHAnsi" w:eastAsiaTheme="minorEastAsia" w:cstheme="minorBidi"/>
          <w:szCs w:val="22"/>
        </w:rPr>
        <w:tab/>
      </w:r>
      <w:r>
        <w:rPr>
          <w:rStyle w:val="25"/>
          <w:rFonts w:hint="eastAsia" w:eastAsia="黑体"/>
        </w:rPr>
        <w:t>校准项目和校准方法</w:t>
      </w:r>
      <w:r>
        <w:rPr>
          <w:rFonts w:hint="eastAsia"/>
        </w:rPr>
        <w:tab/>
      </w:r>
      <w:r>
        <w:rPr>
          <w:rFonts w:hint="eastAsia"/>
        </w:rPr>
        <w:t>6</w:t>
      </w:r>
      <w:r>
        <w:rPr>
          <w:rFonts w:hint="eastAsia"/>
        </w:rPr>
        <w:fldChar w:fldCharType="end"/>
      </w:r>
    </w:p>
    <w:p w14:paraId="675FC187">
      <w:pPr>
        <w:pStyle w:val="17"/>
        <w:rPr>
          <w:rFonts w:asciiTheme="minorHAnsi" w:hAnsiTheme="minorHAnsi" w:eastAsiaTheme="minorEastAsia" w:cstheme="minorBidi"/>
          <w:szCs w:val="22"/>
        </w:rPr>
      </w:pPr>
      <w:r>
        <w:fldChar w:fldCharType="begin"/>
      </w:r>
      <w:r>
        <w:instrText xml:space="preserve"> HYPERLINK \l "_Toc184839116" </w:instrText>
      </w:r>
      <w:r>
        <w:fldChar w:fldCharType="separate"/>
      </w:r>
      <w:r>
        <w:rPr>
          <w:rStyle w:val="25"/>
          <w:rFonts w:hint="eastAsia" w:ascii="宋体" w:hAnsi="宋体"/>
        </w:rPr>
        <w:t>7.1校准项目</w:t>
      </w:r>
      <w:r>
        <w:rPr>
          <w:rFonts w:hint="eastAsia"/>
        </w:rPr>
        <w:tab/>
      </w:r>
      <w:r>
        <w:rPr>
          <w:rFonts w:hint="eastAsia"/>
        </w:rPr>
        <w:t>6</w:t>
      </w:r>
      <w:r>
        <w:rPr>
          <w:rFonts w:hint="eastAsia"/>
        </w:rPr>
        <w:fldChar w:fldCharType="end"/>
      </w:r>
    </w:p>
    <w:p w14:paraId="2039FE88">
      <w:pPr>
        <w:pStyle w:val="17"/>
        <w:rPr>
          <w:rStyle w:val="25"/>
        </w:rPr>
      </w:pPr>
      <w:r>
        <w:fldChar w:fldCharType="begin"/>
      </w:r>
      <w:r>
        <w:instrText xml:space="preserve"> HYPERLINK \l "_Toc184839117" </w:instrText>
      </w:r>
      <w:r>
        <w:fldChar w:fldCharType="separate"/>
      </w:r>
      <w:r>
        <w:rPr>
          <w:rStyle w:val="25"/>
          <w:rFonts w:hint="eastAsia"/>
        </w:rPr>
        <w:t>7.2 校准方法</w:t>
      </w:r>
      <w:r>
        <w:rPr>
          <w:rFonts w:hint="eastAsia"/>
        </w:rPr>
        <w:tab/>
      </w:r>
      <w:r>
        <w:rPr>
          <w:rFonts w:hint="eastAsia"/>
        </w:rPr>
        <w:t>6</w:t>
      </w:r>
      <w:r>
        <w:rPr>
          <w:rFonts w:hint="eastAsia"/>
        </w:rPr>
        <w:fldChar w:fldCharType="end"/>
      </w:r>
    </w:p>
    <w:p w14:paraId="2175C8A0">
      <w:pPr>
        <w:pStyle w:val="16"/>
        <w:rPr>
          <w:rFonts w:asciiTheme="minorHAnsi" w:hAnsiTheme="minorHAnsi" w:eastAsiaTheme="minorEastAsia" w:cstheme="minorBidi"/>
          <w:szCs w:val="22"/>
        </w:rPr>
      </w:pPr>
      <w:r>
        <w:fldChar w:fldCharType="begin"/>
      </w:r>
      <w:r>
        <w:instrText xml:space="preserve"> HYPERLINK \l "_Toc184839122" </w:instrText>
      </w:r>
      <w:r>
        <w:fldChar w:fldCharType="separate"/>
      </w:r>
      <w:r>
        <w:rPr>
          <w:rStyle w:val="25"/>
          <w:rFonts w:hint="eastAsia" w:eastAsia="黑体"/>
        </w:rPr>
        <w:t>8 校准结果表达</w:t>
      </w:r>
      <w:r>
        <w:rPr>
          <w:rFonts w:hint="eastAsia"/>
        </w:rPr>
        <w:tab/>
      </w:r>
      <w:r>
        <w:rPr>
          <w:rFonts w:hint="eastAsia"/>
        </w:rPr>
        <w:t>10</w:t>
      </w:r>
      <w:r>
        <w:rPr>
          <w:rFonts w:hint="eastAsia"/>
        </w:rPr>
        <w:fldChar w:fldCharType="end"/>
      </w:r>
    </w:p>
    <w:p w14:paraId="4708103E">
      <w:pPr>
        <w:pStyle w:val="16"/>
        <w:rPr>
          <w:rFonts w:asciiTheme="minorHAnsi" w:hAnsiTheme="minorHAnsi" w:eastAsiaTheme="minorEastAsia" w:cstheme="minorBidi"/>
          <w:szCs w:val="22"/>
        </w:rPr>
      </w:pPr>
      <w:r>
        <w:fldChar w:fldCharType="begin"/>
      </w:r>
      <w:r>
        <w:instrText xml:space="preserve"> HYPERLINK \l "_Toc184839122" </w:instrText>
      </w:r>
      <w:r>
        <w:fldChar w:fldCharType="separate"/>
      </w:r>
      <w:r>
        <w:rPr>
          <w:rStyle w:val="25"/>
          <w:rFonts w:hint="eastAsia" w:eastAsia="黑体"/>
        </w:rPr>
        <w:t>9 复校时间间隔</w:t>
      </w:r>
      <w:r>
        <w:rPr>
          <w:rFonts w:hint="eastAsia"/>
        </w:rPr>
        <w:tab/>
      </w:r>
      <w:r>
        <w:rPr>
          <w:rFonts w:hint="eastAsia"/>
        </w:rPr>
        <w:fldChar w:fldCharType="begin"/>
      </w:r>
      <w:r>
        <w:rPr>
          <w:rFonts w:hint="eastAsia"/>
        </w:rPr>
        <w:instrText xml:space="preserve"> </w:instrText>
      </w:r>
      <w:r>
        <w:instrText xml:space="preserve">PAGEREF _Toc184839122 \h</w:instrText>
      </w:r>
      <w:r>
        <w:rPr>
          <w:rFonts w:hint="eastAsia"/>
        </w:rPr>
        <w:instrText xml:space="preserve"> </w:instrText>
      </w:r>
      <w:r>
        <w:rPr>
          <w:rFonts w:hint="eastAsia"/>
        </w:rPr>
        <w:fldChar w:fldCharType="separate"/>
      </w:r>
      <w:r>
        <w:t>1</w:t>
      </w:r>
      <w:r>
        <w:rPr>
          <w:rFonts w:hint="eastAsia"/>
        </w:rPr>
        <w:t>1</w:t>
      </w:r>
      <w:r>
        <w:rPr>
          <w:rFonts w:hint="eastAsia"/>
        </w:rPr>
        <w:fldChar w:fldCharType="end"/>
      </w:r>
      <w:r>
        <w:rPr>
          <w:rFonts w:hint="eastAsia"/>
        </w:rPr>
        <w:fldChar w:fldCharType="end"/>
      </w:r>
    </w:p>
    <w:p w14:paraId="1042E5E6">
      <w:pPr>
        <w:pStyle w:val="16"/>
        <w:rPr>
          <w:rFonts w:asciiTheme="minorHAnsi" w:hAnsiTheme="minorHAnsi" w:eastAsiaTheme="minorEastAsia" w:cstheme="minorBidi"/>
          <w:szCs w:val="22"/>
        </w:rPr>
      </w:pPr>
      <w:r>
        <w:fldChar w:fldCharType="begin"/>
      </w:r>
      <w:r>
        <w:instrText xml:space="preserve"> HYPERLINK \l "_Toc184839123" </w:instrText>
      </w:r>
      <w:r>
        <w:fldChar w:fldCharType="separate"/>
      </w:r>
      <w:r>
        <w:rPr>
          <w:rStyle w:val="25"/>
          <w:rFonts w:hint="eastAsia" w:eastAsia="黑体"/>
        </w:rPr>
        <w:t>附录A 校准原始记录格式</w:t>
      </w:r>
      <w:r>
        <w:rPr>
          <w:rStyle w:val="25"/>
          <w:rFonts w:hint="eastAsia" w:eastAsia="黑体"/>
        </w:rPr>
        <w:tab/>
      </w:r>
      <w:r>
        <w:rPr>
          <w:rStyle w:val="25"/>
          <w:rFonts w:hint="eastAsia" w:eastAsia="黑体"/>
        </w:rPr>
        <w:t>1</w:t>
      </w:r>
      <w:r>
        <w:rPr>
          <w:rFonts w:hint="eastAsia"/>
        </w:rPr>
        <w:t>2</w:t>
      </w:r>
      <w:r>
        <w:rPr>
          <w:rFonts w:hint="eastAsia"/>
        </w:rPr>
        <w:fldChar w:fldCharType="end"/>
      </w:r>
    </w:p>
    <w:p w14:paraId="0BD67AE9">
      <w:pPr>
        <w:pStyle w:val="16"/>
        <w:rPr>
          <w:rFonts w:asciiTheme="minorHAnsi" w:hAnsiTheme="minorHAnsi" w:eastAsiaTheme="minorEastAsia" w:cstheme="minorBidi"/>
          <w:szCs w:val="22"/>
        </w:rPr>
      </w:pPr>
      <w:r>
        <w:fldChar w:fldCharType="begin"/>
      </w:r>
      <w:r>
        <w:instrText xml:space="preserve"> HYPERLINK \l "_Toc184839125" </w:instrText>
      </w:r>
      <w:r>
        <w:fldChar w:fldCharType="separate"/>
      </w:r>
      <w:r>
        <w:rPr>
          <w:rStyle w:val="25"/>
          <w:rFonts w:hint="eastAsia" w:eastAsia="黑体"/>
        </w:rPr>
        <w:t>附录B 校准证书内页格式</w:t>
      </w:r>
      <w:r>
        <w:rPr>
          <w:rStyle w:val="25"/>
          <w:rFonts w:hint="eastAsia" w:eastAsia="黑体"/>
        </w:rPr>
        <w:tab/>
      </w:r>
      <w:r>
        <w:rPr>
          <w:rStyle w:val="25"/>
          <w:rFonts w:hint="eastAsia" w:eastAsia="黑体"/>
        </w:rPr>
        <w:t>1</w:t>
      </w:r>
      <w:r>
        <w:rPr>
          <w:rFonts w:hint="eastAsia"/>
        </w:rPr>
        <w:fldChar w:fldCharType="begin"/>
      </w:r>
      <w:r>
        <w:rPr>
          <w:rFonts w:hint="eastAsia"/>
        </w:rPr>
        <w:instrText xml:space="preserve"> </w:instrText>
      </w:r>
      <w:r>
        <w:instrText xml:space="preserve">PAGEREF _Toc184839125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9E862B9">
      <w:pPr>
        <w:pStyle w:val="16"/>
        <w:rPr>
          <w:rFonts w:asciiTheme="minorHAnsi" w:hAnsiTheme="minorHAnsi" w:eastAsiaTheme="minorEastAsia" w:cstheme="minorBidi"/>
          <w:szCs w:val="22"/>
        </w:rPr>
      </w:pPr>
      <w:r>
        <w:fldChar w:fldCharType="begin"/>
      </w:r>
      <w:r>
        <w:instrText xml:space="preserve"> HYPERLINK \l "_Toc184839127" </w:instrText>
      </w:r>
      <w:r>
        <w:fldChar w:fldCharType="separate"/>
      </w:r>
      <w:r>
        <w:rPr>
          <w:rStyle w:val="25"/>
          <w:rFonts w:hint="eastAsia" w:eastAsia="黑体"/>
        </w:rPr>
        <w:t>附录C温度示值误差不确定度评定示例</w:t>
      </w:r>
      <w:r>
        <w:rPr>
          <w:rStyle w:val="25"/>
          <w:rFonts w:hint="eastAsia" w:eastAsia="黑体"/>
        </w:rPr>
        <w:tab/>
      </w:r>
      <w:r>
        <w:rPr>
          <w:rFonts w:hint="eastAsia"/>
        </w:rPr>
        <w:t>15</w:t>
      </w:r>
      <w:r>
        <w:rPr>
          <w:rFonts w:hint="eastAsia"/>
        </w:rPr>
        <w:fldChar w:fldCharType="end"/>
      </w:r>
    </w:p>
    <w:p w14:paraId="40035E4A">
      <w:pPr>
        <w:pStyle w:val="16"/>
        <w:rPr>
          <w:rFonts w:asciiTheme="minorHAnsi" w:hAnsiTheme="minorHAnsi" w:eastAsiaTheme="minorEastAsia" w:cstheme="minorBidi"/>
          <w:szCs w:val="22"/>
        </w:rPr>
      </w:pPr>
      <w:r>
        <w:fldChar w:fldCharType="begin"/>
      </w:r>
      <w:r>
        <w:instrText xml:space="preserve"> HYPERLINK \l "_Toc184839129" </w:instrText>
      </w:r>
      <w:r>
        <w:fldChar w:fldCharType="separate"/>
      </w:r>
      <w:r>
        <w:rPr>
          <w:rStyle w:val="25"/>
          <w:rFonts w:hint="eastAsia" w:eastAsia="黑体"/>
        </w:rPr>
        <w:t>附录D自放热检测灵敏度校准结果不确定度评定</w:t>
      </w:r>
      <w:r>
        <w:rPr>
          <w:rStyle w:val="25"/>
          <w:rFonts w:hint="eastAsia" w:eastAsia="黑体"/>
        </w:rPr>
        <w:tab/>
      </w:r>
      <w:r>
        <w:rPr>
          <w:rStyle w:val="25"/>
          <w:rFonts w:hint="eastAsia" w:eastAsia="黑体"/>
        </w:rPr>
        <w:t>18</w:t>
      </w:r>
      <w:r>
        <w:rPr>
          <w:rStyle w:val="25"/>
          <w:rFonts w:hint="eastAsia" w:eastAsia="黑体"/>
        </w:rPr>
        <w:fldChar w:fldCharType="end"/>
      </w:r>
    </w:p>
    <w:p w14:paraId="6ADF2CA5">
      <w:pPr>
        <w:autoSpaceDE w:val="0"/>
        <w:autoSpaceDN w:val="0"/>
        <w:adjustRightInd w:val="0"/>
        <w:spacing w:line="360" w:lineRule="auto"/>
        <w:jc w:val="left"/>
        <w:rPr>
          <w:sz w:val="28"/>
          <w:szCs w:val="28"/>
          <w:lang w:val="zh-CN"/>
        </w:rPr>
        <w:sectPr>
          <w:footerReference r:id="rId12" w:type="first"/>
          <w:footerReference r:id="rId11" w:type="default"/>
          <w:pgSz w:w="12240" w:h="15840"/>
          <w:pgMar w:top="1440" w:right="1800" w:bottom="1440" w:left="1800" w:header="720" w:footer="720" w:gutter="0"/>
          <w:pgNumType w:fmt="upperRoman" w:start="1"/>
          <w:cols w:space="720" w:num="1"/>
          <w:titlePg/>
        </w:sectPr>
      </w:pPr>
      <w:r>
        <w:rPr>
          <w:sz w:val="24"/>
          <w:lang w:val="zh-CN"/>
        </w:rPr>
        <w:fldChar w:fldCharType="end"/>
      </w:r>
    </w:p>
    <w:p w14:paraId="07CAA5A2">
      <w:pPr>
        <w:pStyle w:val="2"/>
        <w:spacing w:before="0" w:after="0" w:line="480" w:lineRule="auto"/>
        <w:jc w:val="center"/>
        <w:rPr>
          <w:b w:val="0"/>
          <w:lang w:val="zh-CN"/>
        </w:rPr>
      </w:pPr>
      <w:bookmarkStart w:id="0" w:name="_Toc126153603"/>
      <w:bookmarkStart w:id="1" w:name="_Toc2570"/>
      <w:bookmarkStart w:id="2" w:name="_Toc16563"/>
      <w:bookmarkStart w:id="3" w:name="_Toc4914"/>
      <w:r>
        <w:rPr>
          <w:rFonts w:hint="eastAsia"/>
          <w:b w:val="0"/>
          <w:lang w:val="zh-CN"/>
        </w:rPr>
        <w:t>引</w:t>
      </w:r>
      <w:r>
        <w:rPr>
          <w:b w:val="0"/>
          <w:lang w:val="zh-CN"/>
        </w:rPr>
        <w:t xml:space="preserve"> </w:t>
      </w:r>
      <w:r>
        <w:rPr>
          <w:rFonts w:hint="eastAsia"/>
          <w:b w:val="0"/>
          <w:lang w:val="zh-CN"/>
        </w:rPr>
        <w:t>言</w:t>
      </w:r>
      <w:bookmarkEnd w:id="0"/>
      <w:bookmarkEnd w:id="1"/>
      <w:bookmarkEnd w:id="2"/>
      <w:bookmarkEnd w:id="3"/>
    </w:p>
    <w:p w14:paraId="7C1E4ADC">
      <w:pPr>
        <w:tabs>
          <w:tab w:val="left" w:pos="540"/>
        </w:tabs>
        <w:autoSpaceDE w:val="0"/>
        <w:autoSpaceDN w:val="0"/>
        <w:adjustRightInd w:val="0"/>
        <w:spacing w:line="360" w:lineRule="auto"/>
        <w:ind w:firstLine="480" w:firstLineChars="200"/>
        <w:rPr>
          <w:sz w:val="24"/>
        </w:rPr>
      </w:pPr>
      <w:r>
        <w:rPr>
          <w:sz w:val="24"/>
          <w:lang w:val="zh-CN"/>
        </w:rPr>
        <w:t>JJF</w:t>
      </w:r>
      <w:r>
        <w:rPr>
          <w:sz w:val="24"/>
        </w:rPr>
        <w:t xml:space="preserve"> </w:t>
      </w:r>
      <w:r>
        <w:rPr>
          <w:sz w:val="24"/>
          <w:lang w:val="zh-CN"/>
        </w:rPr>
        <w:t>1071</w:t>
      </w:r>
      <w:r>
        <w:rPr>
          <w:sz w:val="24"/>
        </w:rPr>
        <w:t>-2010</w:t>
      </w:r>
      <w:r>
        <w:rPr>
          <w:sz w:val="24"/>
          <w:lang w:val="zh-CN"/>
        </w:rPr>
        <w:t>《国家计量校准规范编写规</w:t>
      </w:r>
      <w:r>
        <w:rPr>
          <w:sz w:val="24"/>
        </w:rPr>
        <w:t>则</w:t>
      </w:r>
      <w:r>
        <w:rPr>
          <w:sz w:val="24"/>
          <w:lang w:val="zh-CN"/>
        </w:rPr>
        <w:t>》</w:t>
      </w:r>
      <w:r>
        <w:rPr>
          <w:rFonts w:hint="eastAsia"/>
          <w:sz w:val="24"/>
          <w:lang w:val="zh-CN"/>
        </w:rPr>
        <w:t>、</w:t>
      </w:r>
      <w:r>
        <w:rPr>
          <w:sz w:val="24"/>
        </w:rPr>
        <w:t>JJF 1001-2011《通用计量术语及定义》、JJF 1059.1-2012《测量不确定度评定与表示》共同构成支撑</w:t>
      </w:r>
      <w:r>
        <w:rPr>
          <w:rFonts w:hint="eastAsia"/>
          <w:sz w:val="24"/>
        </w:rPr>
        <w:t>本</w:t>
      </w:r>
      <w:r>
        <w:rPr>
          <w:sz w:val="24"/>
        </w:rPr>
        <w:t>规范制定工作的基础性系列</w:t>
      </w:r>
      <w:r>
        <w:rPr>
          <w:rFonts w:hint="eastAsia"/>
          <w:sz w:val="24"/>
        </w:rPr>
        <w:t>文件</w:t>
      </w:r>
      <w:r>
        <w:rPr>
          <w:sz w:val="24"/>
        </w:rPr>
        <w:t>。</w:t>
      </w:r>
    </w:p>
    <w:p w14:paraId="2E1C6E32">
      <w:pPr>
        <w:tabs>
          <w:tab w:val="left" w:pos="540"/>
        </w:tabs>
        <w:autoSpaceDE w:val="0"/>
        <w:autoSpaceDN w:val="0"/>
        <w:adjustRightInd w:val="0"/>
        <w:spacing w:line="360" w:lineRule="auto"/>
        <w:ind w:firstLine="480" w:firstLineChars="200"/>
        <w:rPr>
          <w:sz w:val="24"/>
        </w:rPr>
      </w:pPr>
      <w:r>
        <w:rPr>
          <w:sz w:val="24"/>
        </w:rPr>
        <w:t>本规范主要参考JJF</w:t>
      </w:r>
      <w:r>
        <w:rPr>
          <w:rFonts w:hint="eastAsia"/>
          <w:sz w:val="24"/>
        </w:rPr>
        <w:t xml:space="preserve"> </w:t>
      </w:r>
      <w:r>
        <w:rPr>
          <w:sz w:val="24"/>
        </w:rPr>
        <w:t>1101-2019《环境试验设备温度、湿度参数校准规范》</w:t>
      </w:r>
      <w:r>
        <w:rPr>
          <w:rFonts w:hint="eastAsia"/>
          <w:sz w:val="24"/>
        </w:rPr>
        <w:t>、GB/T 42729-2023《</w:t>
      </w:r>
      <w:r>
        <w:rPr>
          <w:sz w:val="24"/>
        </w:rPr>
        <w:t>锂离子电池和电池组安全使用指南</w:t>
      </w:r>
      <w:r>
        <w:rPr>
          <w:rFonts w:hint="eastAsia"/>
          <w:sz w:val="24"/>
        </w:rPr>
        <w:t>》、GB/T 6245-2008《热分析术语》</w:t>
      </w:r>
      <w:r>
        <w:rPr>
          <w:sz w:val="24"/>
        </w:rPr>
        <w:t>和ASTM E1981-98 (Reapproved 2020)（Standard Guide for Assessing Thermal Stability of Materials by Methods of Accelerating Rate Calorimeters）进行编制。</w:t>
      </w:r>
    </w:p>
    <w:p w14:paraId="0097768F">
      <w:pPr>
        <w:spacing w:line="360" w:lineRule="auto"/>
        <w:ind w:firstLine="480" w:firstLineChars="200"/>
        <w:rPr>
          <w:sz w:val="24"/>
        </w:rPr>
      </w:pPr>
      <w:r>
        <w:rPr>
          <w:sz w:val="24"/>
        </w:rPr>
        <w:t>本规范为首次发布。</w:t>
      </w:r>
      <w:r>
        <w:rPr>
          <w:rFonts w:hint="eastAsia"/>
          <w:sz w:val="24"/>
        </w:rPr>
        <w:t xml:space="preserve"> </w:t>
      </w:r>
    </w:p>
    <w:p w14:paraId="2829AEE4">
      <w:pPr>
        <w:tabs>
          <w:tab w:val="left" w:pos="540"/>
        </w:tabs>
        <w:autoSpaceDE w:val="0"/>
        <w:autoSpaceDN w:val="0"/>
        <w:adjustRightInd w:val="0"/>
        <w:spacing w:line="360" w:lineRule="auto"/>
        <w:ind w:firstLine="480" w:firstLineChars="200"/>
        <w:rPr>
          <w:sz w:val="24"/>
        </w:rPr>
      </w:pPr>
    </w:p>
    <w:p w14:paraId="1E551622">
      <w:pPr>
        <w:autoSpaceDE w:val="0"/>
        <w:autoSpaceDN w:val="0"/>
        <w:adjustRightInd w:val="0"/>
        <w:spacing w:line="480" w:lineRule="auto"/>
        <w:jc w:val="center"/>
        <w:rPr>
          <w:b/>
          <w:sz w:val="32"/>
          <w:szCs w:val="32"/>
        </w:rPr>
        <w:sectPr>
          <w:footerReference r:id="rId13" w:type="default"/>
          <w:pgSz w:w="12240" w:h="15840"/>
          <w:pgMar w:top="1440" w:right="1800" w:bottom="1440" w:left="1800" w:header="720" w:footer="720" w:gutter="0"/>
          <w:pgNumType w:fmt="upperRoman"/>
          <w:cols w:space="720" w:num="1"/>
        </w:sectPr>
      </w:pPr>
    </w:p>
    <w:p w14:paraId="64809DC3">
      <w:pPr>
        <w:autoSpaceDE w:val="0"/>
        <w:autoSpaceDN w:val="0"/>
        <w:adjustRightInd w:val="0"/>
        <w:spacing w:line="480" w:lineRule="auto"/>
        <w:jc w:val="center"/>
        <w:rPr>
          <w:sz w:val="32"/>
          <w:szCs w:val="32"/>
        </w:rPr>
      </w:pPr>
      <w:r>
        <w:rPr>
          <w:sz w:val="32"/>
          <w:szCs w:val="32"/>
          <w:lang w:val="zh-CN"/>
        </w:rPr>
        <w:t>锂离子电池电芯热参数测试仪校准规范</w:t>
      </w:r>
    </w:p>
    <w:p w14:paraId="781D97CD">
      <w:pPr>
        <w:pStyle w:val="2"/>
        <w:spacing w:beforeLines="50" w:after="0" w:line="360" w:lineRule="auto"/>
        <w:rPr>
          <w:rFonts w:ascii="黑体" w:hAnsi="黑体" w:eastAsia="黑体"/>
          <w:b w:val="0"/>
          <w:sz w:val="24"/>
          <w:szCs w:val="24"/>
        </w:rPr>
      </w:pPr>
      <w:bookmarkStart w:id="4" w:name="_Toc31303"/>
      <w:bookmarkStart w:id="5" w:name="_Toc126153604"/>
      <w:bookmarkStart w:id="6" w:name="_Toc16234"/>
      <w:bookmarkStart w:id="7" w:name="_Toc14534"/>
      <w:r>
        <w:rPr>
          <w:rFonts w:ascii="黑体" w:hAnsi="黑体" w:eastAsia="黑体"/>
          <w:b w:val="0"/>
          <w:sz w:val="24"/>
          <w:szCs w:val="24"/>
        </w:rPr>
        <w:t xml:space="preserve">1 </w:t>
      </w:r>
      <w:r>
        <w:rPr>
          <w:rFonts w:hint="eastAsia" w:ascii="黑体" w:hAnsi="黑体" w:eastAsia="黑体"/>
          <w:b w:val="0"/>
          <w:sz w:val="24"/>
          <w:szCs w:val="24"/>
          <w:lang w:val="zh-CN"/>
        </w:rPr>
        <w:t>范围</w:t>
      </w:r>
      <w:bookmarkEnd w:id="4"/>
      <w:bookmarkEnd w:id="5"/>
      <w:bookmarkEnd w:id="6"/>
      <w:bookmarkEnd w:id="7"/>
    </w:p>
    <w:p w14:paraId="3FB58E71">
      <w:pPr>
        <w:tabs>
          <w:tab w:val="left" w:pos="540"/>
        </w:tabs>
        <w:autoSpaceDE w:val="0"/>
        <w:autoSpaceDN w:val="0"/>
        <w:adjustRightInd w:val="0"/>
        <w:spacing w:line="360" w:lineRule="auto"/>
        <w:ind w:firstLine="480" w:firstLineChars="200"/>
        <w:rPr>
          <w:sz w:val="24"/>
          <w:lang w:val="zh-CN"/>
        </w:rPr>
      </w:pPr>
      <w:r>
        <w:rPr>
          <w:sz w:val="24"/>
          <w:lang w:val="zh-CN"/>
        </w:rPr>
        <w:t>本规范适用对象是测量锂电池单体电芯自发热特性和热物性参数的电池热参数测试仪的校准。</w:t>
      </w:r>
    </w:p>
    <w:p w14:paraId="273416BD">
      <w:pPr>
        <w:pStyle w:val="2"/>
        <w:spacing w:beforeLines="50" w:after="0" w:line="360" w:lineRule="auto"/>
        <w:rPr>
          <w:rFonts w:ascii="黑体" w:hAnsi="黑体" w:eastAsia="黑体"/>
          <w:b w:val="0"/>
          <w:sz w:val="24"/>
          <w:szCs w:val="24"/>
        </w:rPr>
      </w:pPr>
      <w:bookmarkStart w:id="8" w:name="_Toc6981"/>
      <w:bookmarkStart w:id="9" w:name="_Toc20086"/>
      <w:bookmarkStart w:id="10" w:name="_Toc126153605"/>
      <w:bookmarkStart w:id="11" w:name="_Toc27612"/>
      <w:r>
        <w:rPr>
          <w:rFonts w:ascii="黑体" w:hAnsi="黑体" w:eastAsia="黑体"/>
          <w:b w:val="0"/>
          <w:sz w:val="24"/>
          <w:szCs w:val="24"/>
        </w:rPr>
        <w:t xml:space="preserve">2 </w:t>
      </w:r>
      <w:r>
        <w:rPr>
          <w:rFonts w:hint="eastAsia" w:ascii="黑体" w:hAnsi="黑体" w:eastAsia="黑体"/>
          <w:b w:val="0"/>
          <w:sz w:val="24"/>
          <w:szCs w:val="24"/>
        </w:rPr>
        <w:t>引用文件</w:t>
      </w:r>
      <w:bookmarkEnd w:id="8"/>
      <w:bookmarkEnd w:id="9"/>
      <w:bookmarkEnd w:id="10"/>
      <w:bookmarkEnd w:id="11"/>
    </w:p>
    <w:p w14:paraId="59F2DBA3">
      <w:pPr>
        <w:tabs>
          <w:tab w:val="left" w:pos="540"/>
        </w:tabs>
        <w:autoSpaceDE w:val="0"/>
        <w:autoSpaceDN w:val="0"/>
        <w:adjustRightInd w:val="0"/>
        <w:spacing w:line="360" w:lineRule="auto"/>
        <w:ind w:firstLine="480" w:firstLineChars="200"/>
        <w:rPr>
          <w:sz w:val="24"/>
          <w:lang w:val="zh-CN"/>
        </w:rPr>
      </w:pPr>
      <w:r>
        <w:rPr>
          <w:sz w:val="24"/>
          <w:lang w:val="zh-CN"/>
        </w:rPr>
        <w:t>本规范引用下列文件：</w:t>
      </w:r>
    </w:p>
    <w:p w14:paraId="5553AA77">
      <w:pPr>
        <w:tabs>
          <w:tab w:val="left" w:pos="540"/>
        </w:tabs>
        <w:autoSpaceDE w:val="0"/>
        <w:autoSpaceDN w:val="0"/>
        <w:adjustRightInd w:val="0"/>
        <w:spacing w:line="360" w:lineRule="auto"/>
        <w:ind w:firstLine="480" w:firstLineChars="200"/>
        <w:rPr>
          <w:sz w:val="24"/>
        </w:rPr>
      </w:pPr>
      <w:r>
        <w:rPr>
          <w:sz w:val="24"/>
        </w:rPr>
        <w:t>JJF</w:t>
      </w:r>
      <w:r>
        <w:rPr>
          <w:rFonts w:hint="eastAsia"/>
          <w:sz w:val="24"/>
        </w:rPr>
        <w:t xml:space="preserve"> </w:t>
      </w:r>
      <w:r>
        <w:rPr>
          <w:sz w:val="24"/>
        </w:rPr>
        <w:t>1101-2019《环境试验设备温度、湿度参数校准规范》；</w:t>
      </w:r>
    </w:p>
    <w:p w14:paraId="016A09B8">
      <w:pPr>
        <w:tabs>
          <w:tab w:val="left" w:pos="540"/>
        </w:tabs>
        <w:autoSpaceDE w:val="0"/>
        <w:autoSpaceDN w:val="0"/>
        <w:adjustRightInd w:val="0"/>
        <w:spacing w:line="360" w:lineRule="auto"/>
        <w:ind w:firstLine="480" w:firstLineChars="200"/>
        <w:rPr>
          <w:sz w:val="24"/>
        </w:rPr>
      </w:pPr>
      <w:r>
        <w:rPr>
          <w:rFonts w:hint="eastAsia"/>
          <w:sz w:val="24"/>
        </w:rPr>
        <w:t>GB/T 42729-2023《</w:t>
      </w:r>
      <w:r>
        <w:rPr>
          <w:sz w:val="24"/>
        </w:rPr>
        <w:t>锂离子电池和电池组安全使用指南</w:t>
      </w:r>
      <w:r>
        <w:rPr>
          <w:rFonts w:hint="eastAsia"/>
          <w:sz w:val="24"/>
        </w:rPr>
        <w:t>》；</w:t>
      </w:r>
    </w:p>
    <w:p w14:paraId="6D4DDD12">
      <w:pPr>
        <w:tabs>
          <w:tab w:val="left" w:pos="540"/>
        </w:tabs>
        <w:autoSpaceDE w:val="0"/>
        <w:autoSpaceDN w:val="0"/>
        <w:adjustRightInd w:val="0"/>
        <w:spacing w:line="360" w:lineRule="auto"/>
        <w:ind w:firstLine="480" w:firstLineChars="200"/>
        <w:rPr>
          <w:sz w:val="24"/>
        </w:rPr>
      </w:pPr>
      <w:r>
        <w:rPr>
          <w:rFonts w:hint="eastAsia"/>
          <w:sz w:val="24"/>
        </w:rPr>
        <w:t>GB/T 6245-2008《热分析术语》；</w:t>
      </w:r>
    </w:p>
    <w:p w14:paraId="28DF47DC">
      <w:pPr>
        <w:tabs>
          <w:tab w:val="left" w:pos="540"/>
        </w:tabs>
        <w:autoSpaceDE w:val="0"/>
        <w:autoSpaceDN w:val="0"/>
        <w:adjustRightInd w:val="0"/>
        <w:spacing w:line="360" w:lineRule="auto"/>
        <w:ind w:firstLine="480" w:firstLineChars="200"/>
        <w:rPr>
          <w:sz w:val="24"/>
        </w:rPr>
      </w:pPr>
      <w:r>
        <w:rPr>
          <w:sz w:val="24"/>
        </w:rPr>
        <w:t>ASTM E1981-98 (Reapproved 2020) （Standard Guide for Assessing Thermal Stability of Materials by Methods of Accelerating Rate Calorimeters）（加速绝热法评估物料热稳定性标准指南）</w:t>
      </w:r>
    </w:p>
    <w:p w14:paraId="2FB1E7FD">
      <w:pPr>
        <w:tabs>
          <w:tab w:val="left" w:pos="540"/>
        </w:tabs>
        <w:autoSpaceDE w:val="0"/>
        <w:autoSpaceDN w:val="0"/>
        <w:adjustRightInd w:val="0"/>
        <w:spacing w:line="360" w:lineRule="auto"/>
        <w:ind w:firstLine="480" w:firstLineChars="200"/>
        <w:rPr>
          <w:sz w:val="24"/>
        </w:rPr>
      </w:pPr>
      <w:r>
        <w:rPr>
          <w:rFonts w:hint="eastAsia"/>
          <w:sz w:val="24"/>
          <w:lang w:val="zh-CN"/>
        </w:rPr>
        <w:t>凡是注日期的引用文件，仅注日期的版本适用于本规范；凡是不注日期的引用文件，其最新版本（也包括所有的修改单）适用于本规范。</w:t>
      </w:r>
    </w:p>
    <w:p w14:paraId="66590CFB">
      <w:pPr>
        <w:pStyle w:val="2"/>
        <w:spacing w:beforeLines="50" w:after="0" w:line="360" w:lineRule="auto"/>
        <w:rPr>
          <w:rFonts w:ascii="黑体" w:hAnsi="黑体" w:eastAsia="黑体"/>
          <w:b w:val="0"/>
          <w:color w:val="FF0000"/>
          <w:sz w:val="24"/>
          <w:szCs w:val="24"/>
          <w:highlight w:val="yellow"/>
        </w:rPr>
      </w:pPr>
      <w:bookmarkStart w:id="12" w:name="_Toc126153606"/>
      <w:bookmarkStart w:id="13" w:name="_Toc31838"/>
      <w:bookmarkStart w:id="14" w:name="_Toc24847"/>
      <w:bookmarkStart w:id="15" w:name="_Toc6256"/>
      <w:r>
        <w:rPr>
          <w:rFonts w:ascii="黑体" w:hAnsi="黑体" w:eastAsia="黑体"/>
          <w:b w:val="0"/>
          <w:sz w:val="24"/>
          <w:szCs w:val="24"/>
        </w:rPr>
        <w:t xml:space="preserve">3 </w:t>
      </w:r>
      <w:r>
        <w:rPr>
          <w:rFonts w:hint="eastAsia" w:ascii="黑体" w:hAnsi="黑体" w:eastAsia="黑体"/>
          <w:b w:val="0"/>
          <w:sz w:val="24"/>
          <w:szCs w:val="24"/>
        </w:rPr>
        <w:t>定义及术语</w:t>
      </w:r>
      <w:bookmarkEnd w:id="12"/>
    </w:p>
    <w:p w14:paraId="57C868FF">
      <w:pPr>
        <w:pStyle w:val="3"/>
        <w:spacing w:before="0" w:after="0" w:line="360" w:lineRule="auto"/>
        <w:rPr>
          <w:rFonts w:ascii="Times New Roman" w:hAnsi="Times New Roman" w:eastAsia="宋体"/>
          <w:b w:val="0"/>
          <w:bCs w:val="0"/>
          <w:sz w:val="24"/>
          <w:szCs w:val="24"/>
        </w:rPr>
      </w:pPr>
      <w:bookmarkStart w:id="16" w:name="_Toc184839095"/>
      <w:bookmarkStart w:id="17" w:name="_Toc126153608"/>
      <w:r>
        <w:rPr>
          <w:rFonts w:hint="eastAsia" w:ascii="Times New Roman" w:hAnsi="Times New Roman" w:eastAsia="宋体"/>
          <w:b w:val="0"/>
          <w:bCs w:val="0"/>
          <w:sz w:val="24"/>
          <w:szCs w:val="24"/>
        </w:rPr>
        <w:t xml:space="preserve">3.1 自放热温升速率 self-heating </w:t>
      </w:r>
      <w:r>
        <w:rPr>
          <w:rFonts w:ascii="Times New Roman" w:hAnsi="Times New Roman" w:eastAsia="宋体"/>
          <w:b w:val="0"/>
          <w:bCs w:val="0"/>
          <w:sz w:val="24"/>
          <w:szCs w:val="24"/>
        </w:rPr>
        <w:t>temperature</w:t>
      </w:r>
      <w:r>
        <w:rPr>
          <w:rFonts w:hint="eastAsia" w:ascii="Times New Roman" w:hAnsi="Times New Roman" w:eastAsia="宋体"/>
          <w:b w:val="0"/>
          <w:bCs w:val="0"/>
          <w:sz w:val="24"/>
          <w:szCs w:val="24"/>
        </w:rPr>
        <w:t xml:space="preserve"> rise rate</w:t>
      </w:r>
      <w:bookmarkEnd w:id="16"/>
    </w:p>
    <w:p w14:paraId="5D697B8B">
      <w:pPr>
        <w:tabs>
          <w:tab w:val="left" w:pos="300"/>
        </w:tabs>
        <w:autoSpaceDE w:val="0"/>
        <w:autoSpaceDN w:val="0"/>
        <w:spacing w:line="360" w:lineRule="auto"/>
        <w:rPr>
          <w:sz w:val="24"/>
        </w:rPr>
      </w:pPr>
      <w:r>
        <w:rPr>
          <w:sz w:val="24"/>
        </w:rPr>
        <w:tab/>
      </w:r>
      <w:r>
        <w:rPr>
          <w:sz w:val="24"/>
        </w:rPr>
        <w:tab/>
      </w:r>
      <w:r>
        <w:rPr>
          <w:rFonts w:hint="eastAsia"/>
          <w:sz w:val="24"/>
        </w:rPr>
        <w:t>在绝热环境中，由于电芯自放热导致的电芯表面温度上升速率。</w:t>
      </w:r>
    </w:p>
    <w:p w14:paraId="4E2C9F03">
      <w:pPr>
        <w:spacing w:line="360" w:lineRule="auto"/>
        <w:ind w:firstLine="420" w:firstLineChars="200"/>
        <w:rPr>
          <w:color w:val="000000" w:themeColor="text1"/>
          <w:szCs w:val="21"/>
        </w:rPr>
      </w:pPr>
      <w:r>
        <w:rPr>
          <w:rFonts w:hint="eastAsia"/>
          <w:color w:val="000000" w:themeColor="text1"/>
          <w:szCs w:val="21"/>
        </w:rPr>
        <w:t>[源自GB/T6245-2008，有修改]</w:t>
      </w:r>
    </w:p>
    <w:p w14:paraId="100D50CA">
      <w:pPr>
        <w:pStyle w:val="3"/>
        <w:spacing w:before="0" w:after="0" w:line="360" w:lineRule="auto"/>
        <w:rPr>
          <w:rFonts w:ascii="Times New Roman" w:hAnsi="Times New Roman" w:eastAsia="宋体"/>
          <w:b w:val="0"/>
          <w:bCs w:val="0"/>
          <w:sz w:val="24"/>
          <w:szCs w:val="24"/>
        </w:rPr>
      </w:pPr>
      <w:bookmarkStart w:id="18" w:name="_Toc184839096"/>
      <w:r>
        <w:rPr>
          <w:rFonts w:hint="eastAsia" w:ascii="Times New Roman" w:hAnsi="Times New Roman" w:eastAsia="宋体"/>
          <w:b w:val="0"/>
          <w:bCs w:val="0"/>
          <w:sz w:val="24"/>
          <w:szCs w:val="24"/>
        </w:rPr>
        <w:t>3.2 温度波动度 temperature stability</w:t>
      </w:r>
      <w:bookmarkEnd w:id="18"/>
    </w:p>
    <w:p w14:paraId="5AE90E65">
      <w:pPr>
        <w:tabs>
          <w:tab w:val="left" w:pos="540"/>
        </w:tabs>
        <w:autoSpaceDE w:val="0"/>
        <w:autoSpaceDN w:val="0"/>
        <w:spacing w:line="360" w:lineRule="auto"/>
        <w:rPr>
          <w:sz w:val="24"/>
        </w:rPr>
      </w:pPr>
      <w:r>
        <w:rPr>
          <w:sz w:val="24"/>
        </w:rPr>
        <w:tab/>
      </w:r>
      <w:r>
        <w:rPr>
          <w:rFonts w:hint="eastAsia"/>
          <w:sz w:val="24"/>
        </w:rPr>
        <w:t>锂离子电池电芯热参数测试仪恒温状态下，在规定的时间间隔内，测温点温度随时间的变化量。</w:t>
      </w:r>
    </w:p>
    <w:p w14:paraId="77B1F1F9">
      <w:pPr>
        <w:tabs>
          <w:tab w:val="left" w:pos="540"/>
        </w:tabs>
        <w:autoSpaceDE w:val="0"/>
        <w:autoSpaceDN w:val="0"/>
        <w:spacing w:line="360" w:lineRule="auto"/>
        <w:rPr>
          <w:sz w:val="24"/>
        </w:rPr>
      </w:pPr>
      <w:r>
        <w:rPr>
          <w:rFonts w:hint="eastAsia"/>
          <w:color w:val="000000" w:themeColor="text1"/>
          <w:szCs w:val="21"/>
        </w:rPr>
        <w:tab/>
      </w:r>
      <w:r>
        <w:rPr>
          <w:rFonts w:hint="eastAsia"/>
          <w:color w:val="000000" w:themeColor="text1"/>
          <w:szCs w:val="21"/>
        </w:rPr>
        <w:t>[源自JJF1101-2019，有修改]</w:t>
      </w:r>
    </w:p>
    <w:p w14:paraId="334A57B5">
      <w:pPr>
        <w:pStyle w:val="3"/>
        <w:spacing w:before="0" w:after="0" w:line="360" w:lineRule="auto"/>
        <w:rPr>
          <w:rFonts w:ascii="Times New Roman" w:hAnsi="Times New Roman" w:eastAsia="宋体"/>
          <w:b w:val="0"/>
          <w:bCs w:val="0"/>
          <w:sz w:val="24"/>
          <w:szCs w:val="24"/>
        </w:rPr>
      </w:pPr>
      <w:bookmarkStart w:id="19" w:name="_Toc184839097"/>
      <w:r>
        <w:rPr>
          <w:rFonts w:hint="eastAsia" w:ascii="Times New Roman" w:hAnsi="Times New Roman" w:eastAsia="宋体"/>
          <w:b w:val="0"/>
          <w:bCs w:val="0"/>
          <w:sz w:val="24"/>
          <w:szCs w:val="24"/>
        </w:rPr>
        <w:t>3.3 标准样块 standard block</w:t>
      </w:r>
      <w:bookmarkEnd w:id="19"/>
    </w:p>
    <w:p w14:paraId="514FFA67">
      <w:pPr>
        <w:tabs>
          <w:tab w:val="left" w:pos="540"/>
        </w:tabs>
        <w:autoSpaceDE w:val="0"/>
        <w:autoSpaceDN w:val="0"/>
        <w:spacing w:line="360" w:lineRule="auto"/>
        <w:rPr>
          <w:sz w:val="24"/>
        </w:rPr>
      </w:pPr>
      <w:r>
        <w:rPr>
          <w:sz w:val="24"/>
        </w:rPr>
        <w:tab/>
      </w:r>
      <w:r>
        <w:rPr>
          <w:rFonts w:hint="eastAsia"/>
          <w:sz w:val="24"/>
        </w:rPr>
        <w:t>接线端子可引出的与待测电池尺寸一致且内部为纯电阻的金属块，具有稳定的电阻值及比热容值。</w:t>
      </w:r>
    </w:p>
    <w:p w14:paraId="49881A38">
      <w:pPr>
        <w:pStyle w:val="2"/>
        <w:spacing w:beforeLines="50" w:after="0" w:line="360" w:lineRule="auto"/>
        <w:rPr>
          <w:rFonts w:ascii="黑体" w:hAnsi="黑体" w:eastAsia="黑体"/>
          <w:b w:val="0"/>
          <w:sz w:val="24"/>
          <w:szCs w:val="24"/>
          <w:highlight w:val="yellow"/>
        </w:rPr>
      </w:pPr>
      <w:r>
        <w:rPr>
          <w:rFonts w:ascii="黑体" w:hAnsi="黑体" w:eastAsia="黑体"/>
          <w:b w:val="0"/>
          <w:sz w:val="24"/>
          <w:szCs w:val="24"/>
        </w:rPr>
        <w:t xml:space="preserve">4 </w:t>
      </w:r>
      <w:r>
        <w:rPr>
          <w:rFonts w:hint="eastAsia" w:ascii="黑体" w:hAnsi="黑体" w:eastAsia="黑体"/>
          <w:b w:val="0"/>
          <w:sz w:val="24"/>
          <w:szCs w:val="24"/>
        </w:rPr>
        <w:t>概述</w:t>
      </w:r>
      <w:bookmarkEnd w:id="13"/>
      <w:bookmarkEnd w:id="14"/>
      <w:bookmarkEnd w:id="15"/>
      <w:bookmarkEnd w:id="17"/>
    </w:p>
    <w:p w14:paraId="70B2A1FC">
      <w:pPr>
        <w:spacing w:line="360" w:lineRule="auto"/>
        <w:ind w:firstLine="480" w:firstLineChars="200"/>
        <w:rPr>
          <w:rFonts w:eastAsiaTheme="minorEastAsia"/>
          <w:sz w:val="24"/>
        </w:rPr>
      </w:pPr>
      <w:r>
        <w:rPr>
          <w:rFonts w:eastAsiaTheme="minorEastAsia"/>
          <w:sz w:val="24"/>
        </w:rPr>
        <w:t>电池热参数测试仪是研究锂电池电芯热安全性的主要设备之一，能够在安全受控的绝热环境下研究动力电池、储能电池等各种不同类型的电芯在高温或异常热失控状态下的自产热特性，明确电芯的操作安全边界；同时能够测定电池充放电产热和比热容等热参数，为开展热管理仿真提供基础数据支撑。电池热参数测试仪是锂电池相关行业开展研发和认证所需的重要计量器具。</w:t>
      </w:r>
    </w:p>
    <w:p w14:paraId="4D1350F0">
      <w:pPr>
        <w:spacing w:line="360" w:lineRule="auto"/>
        <w:ind w:firstLine="480" w:firstLineChars="200"/>
        <w:rPr>
          <w:sz w:val="24"/>
        </w:rPr>
      </w:pPr>
      <w:r>
        <w:rPr>
          <w:sz w:val="24"/>
        </w:rPr>
        <w:t>仪器主要由</w:t>
      </w:r>
      <w:r>
        <w:rPr>
          <w:rFonts w:hint="eastAsia"/>
          <w:sz w:val="24"/>
        </w:rPr>
        <w:t>量热炉体</w:t>
      </w:r>
      <w:r>
        <w:rPr>
          <w:sz w:val="24"/>
        </w:rPr>
        <w:t>、数据采集和控制系统组成。其中加热炉腔分为上盖、侧壁和底部3个主要区域，分别布置测温热电偶和加热器，用于反馈控制各自区域内的温度。电池样品放置于炉腔中央，通过内置热电偶或表面固定热电偶的方式检测电池样品在不同温度下的自放热温升速率，如图1所示。</w:t>
      </w:r>
    </w:p>
    <w:p w14:paraId="0BCA75A1">
      <w:pPr>
        <w:spacing w:line="360" w:lineRule="auto"/>
        <w:ind w:firstLine="480" w:firstLineChars="200"/>
        <w:rPr>
          <w:sz w:val="24"/>
        </w:rPr>
      </w:pPr>
      <w:r>
        <w:rPr>
          <w:sz w:val="24"/>
        </w:rPr>
        <w:drawing>
          <wp:inline distT="0" distB="0" distL="114300" distR="114300">
            <wp:extent cx="5375910" cy="247205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5383865" cy="2475701"/>
                    </a:xfrm>
                    <a:prstGeom prst="rect">
                      <a:avLst/>
                    </a:prstGeom>
                    <a:noFill/>
                    <a:ln>
                      <a:noFill/>
                    </a:ln>
                  </pic:spPr>
                </pic:pic>
              </a:graphicData>
            </a:graphic>
          </wp:inline>
        </w:drawing>
      </w:r>
    </w:p>
    <w:p w14:paraId="69371571">
      <w:pPr>
        <w:spacing w:line="360" w:lineRule="auto"/>
        <w:jc w:val="center"/>
        <w:rPr>
          <w:sz w:val="24"/>
        </w:rPr>
      </w:pPr>
      <w:r>
        <w:rPr>
          <w:sz w:val="24"/>
        </w:rPr>
        <w:t xml:space="preserve">图1 </w:t>
      </w:r>
      <w:r>
        <w:rPr>
          <w:rFonts w:hint="eastAsia"/>
          <w:sz w:val="24"/>
        </w:rPr>
        <w:t>锂离子</w:t>
      </w:r>
      <w:r>
        <w:rPr>
          <w:sz w:val="24"/>
        </w:rPr>
        <w:t>电池</w:t>
      </w:r>
      <w:r>
        <w:rPr>
          <w:rFonts w:hint="eastAsia"/>
          <w:sz w:val="24"/>
        </w:rPr>
        <w:t>电芯</w:t>
      </w:r>
      <w:r>
        <w:rPr>
          <w:sz w:val="24"/>
        </w:rPr>
        <w:t>热参数测试仪示意图</w:t>
      </w:r>
    </w:p>
    <w:p w14:paraId="5716DF6B">
      <w:pPr>
        <w:pStyle w:val="2"/>
        <w:spacing w:beforeLines="50" w:after="0" w:line="360" w:lineRule="auto"/>
        <w:rPr>
          <w:rFonts w:ascii="黑体" w:hAnsi="黑体" w:eastAsia="黑体"/>
          <w:b w:val="0"/>
          <w:sz w:val="24"/>
          <w:szCs w:val="24"/>
        </w:rPr>
      </w:pPr>
      <w:bookmarkStart w:id="20" w:name="_Toc184839099"/>
      <w:bookmarkStart w:id="21" w:name="_Toc14821"/>
      <w:bookmarkStart w:id="22" w:name="_Toc332"/>
      <w:bookmarkStart w:id="23" w:name="_Toc14712"/>
      <w:r>
        <w:rPr>
          <w:rFonts w:hint="eastAsia" w:ascii="黑体" w:hAnsi="黑体" w:eastAsia="黑体"/>
          <w:b w:val="0"/>
          <w:sz w:val="24"/>
          <w:szCs w:val="24"/>
        </w:rPr>
        <w:t>5</w:t>
      </w:r>
      <w:r>
        <w:rPr>
          <w:rFonts w:ascii="黑体" w:hAnsi="黑体" w:eastAsia="黑体"/>
          <w:b w:val="0"/>
          <w:sz w:val="24"/>
          <w:szCs w:val="24"/>
        </w:rPr>
        <w:t xml:space="preserve"> 计量特性</w:t>
      </w:r>
      <w:bookmarkEnd w:id="20"/>
      <w:bookmarkEnd w:id="21"/>
      <w:bookmarkEnd w:id="22"/>
      <w:bookmarkEnd w:id="23"/>
    </w:p>
    <w:p w14:paraId="1957A96B">
      <w:pPr>
        <w:pStyle w:val="3"/>
        <w:spacing w:before="0" w:after="0" w:line="360" w:lineRule="auto"/>
        <w:rPr>
          <w:rStyle w:val="27"/>
          <w:rFonts w:ascii="Times New Roman" w:hAnsi="Times New Roman" w:eastAsia="宋体"/>
          <w:b w:val="0"/>
          <w:bCs/>
          <w:sz w:val="24"/>
          <w:szCs w:val="24"/>
        </w:rPr>
      </w:pPr>
      <w:bookmarkStart w:id="24" w:name="_Toc121724280"/>
      <w:bookmarkStart w:id="25" w:name="_Toc184839100"/>
      <w:bookmarkStart w:id="26" w:name="_Toc23687"/>
      <w:bookmarkStart w:id="27" w:name="_Toc26918"/>
      <w:r>
        <w:rPr>
          <w:rStyle w:val="27"/>
          <w:rFonts w:hint="eastAsia" w:ascii="Times New Roman" w:hAnsi="Times New Roman" w:eastAsia="宋体"/>
          <w:b w:val="0"/>
          <w:bCs w:val="0"/>
          <w:sz w:val="24"/>
          <w:szCs w:val="24"/>
        </w:rPr>
        <w:t>5</w:t>
      </w:r>
      <w:r>
        <w:rPr>
          <w:rStyle w:val="27"/>
          <w:rFonts w:ascii="Times New Roman" w:hAnsi="Times New Roman" w:eastAsia="宋体"/>
          <w:b w:val="0"/>
          <w:bCs w:val="0"/>
          <w:sz w:val="24"/>
          <w:szCs w:val="24"/>
        </w:rPr>
        <w:t xml:space="preserve">.1 </w:t>
      </w:r>
      <w:bookmarkEnd w:id="24"/>
      <w:r>
        <w:rPr>
          <w:rStyle w:val="27"/>
          <w:rFonts w:ascii="Times New Roman" w:hAnsi="Times New Roman" w:eastAsia="宋体"/>
          <w:b w:val="0"/>
          <w:bCs w:val="0"/>
          <w:sz w:val="24"/>
          <w:szCs w:val="24"/>
        </w:rPr>
        <w:t>自放热</w:t>
      </w:r>
      <w:bookmarkEnd w:id="25"/>
      <w:r>
        <w:rPr>
          <w:rStyle w:val="27"/>
          <w:rFonts w:hint="eastAsia" w:ascii="Times New Roman" w:hAnsi="Times New Roman" w:eastAsia="宋体"/>
          <w:b w:val="0"/>
          <w:bCs w:val="0"/>
          <w:sz w:val="24"/>
          <w:szCs w:val="24"/>
        </w:rPr>
        <w:t>检测灵敏度</w:t>
      </w:r>
    </w:p>
    <w:p w14:paraId="392D6AAB">
      <w:pPr>
        <w:autoSpaceDE w:val="0"/>
        <w:autoSpaceDN w:val="0"/>
        <w:spacing w:line="360" w:lineRule="auto"/>
        <w:ind w:left="2240" w:hanging="2240"/>
        <w:rPr>
          <w:rStyle w:val="27"/>
          <w:rFonts w:asciiTheme="minorEastAsia" w:hAnsiTheme="minorEastAsia" w:eastAsiaTheme="minorEastAsia"/>
          <w:b w:val="0"/>
          <w:sz w:val="24"/>
        </w:rPr>
      </w:pPr>
      <w:r>
        <w:rPr>
          <w:rStyle w:val="27"/>
          <w:sz w:val="24"/>
        </w:rPr>
        <w:t xml:space="preserve"> </w:t>
      </w:r>
      <w:r>
        <w:rPr>
          <w:rStyle w:val="27"/>
          <w:rFonts w:asciiTheme="minorEastAsia" w:hAnsiTheme="minorEastAsia" w:eastAsiaTheme="minorEastAsia"/>
          <w:b w:val="0"/>
          <w:sz w:val="24"/>
        </w:rPr>
        <w:t xml:space="preserve">   </w:t>
      </w:r>
      <w:bookmarkStart w:id="28" w:name="_Toc184839101"/>
      <w:bookmarkStart w:id="29" w:name="_Toc184838670"/>
      <w:bookmarkStart w:id="30" w:name="_Toc121724476"/>
      <w:bookmarkStart w:id="31" w:name="_Toc121724281"/>
      <w:r>
        <w:rPr>
          <w:rStyle w:val="27"/>
          <w:rFonts w:asciiTheme="minorEastAsia" w:hAnsiTheme="minorEastAsia" w:eastAsiaTheme="minorEastAsia"/>
          <w:b w:val="0"/>
          <w:sz w:val="24"/>
        </w:rPr>
        <w:t>样品</w:t>
      </w:r>
      <w:r>
        <w:rPr>
          <w:rStyle w:val="27"/>
          <w:rFonts w:hint="eastAsia" w:asciiTheme="minorEastAsia" w:hAnsiTheme="minorEastAsia" w:eastAsiaTheme="minorEastAsia"/>
          <w:b w:val="0"/>
          <w:sz w:val="24"/>
        </w:rPr>
        <w:t>自放热温升</w:t>
      </w:r>
      <w:r>
        <w:rPr>
          <w:rStyle w:val="27"/>
          <w:rFonts w:asciiTheme="minorEastAsia" w:hAnsiTheme="minorEastAsia" w:eastAsiaTheme="minorEastAsia"/>
          <w:b w:val="0"/>
          <w:sz w:val="24"/>
        </w:rPr>
        <w:t>速率与</w:t>
      </w:r>
      <w:r>
        <w:rPr>
          <w:rStyle w:val="27"/>
          <w:rFonts w:hint="eastAsia" w:asciiTheme="minorEastAsia" w:hAnsiTheme="minorEastAsia" w:eastAsiaTheme="minorEastAsia"/>
          <w:b w:val="0"/>
          <w:sz w:val="24"/>
        </w:rPr>
        <w:t>理论温升速率</w:t>
      </w:r>
      <w:r>
        <w:rPr>
          <w:rStyle w:val="27"/>
          <w:rFonts w:asciiTheme="minorEastAsia" w:hAnsiTheme="minorEastAsia" w:eastAsiaTheme="minorEastAsia"/>
          <w:b w:val="0"/>
          <w:sz w:val="24"/>
        </w:rPr>
        <w:t>之差</w:t>
      </w:r>
      <w:bookmarkEnd w:id="28"/>
      <w:bookmarkEnd w:id="29"/>
      <w:bookmarkStart w:id="32" w:name="_Toc184838671"/>
      <w:bookmarkStart w:id="33" w:name="_Toc184839102"/>
      <w:r>
        <w:rPr>
          <w:rStyle w:val="27"/>
          <w:rFonts w:hint="eastAsia" w:asciiTheme="minorEastAsia" w:hAnsiTheme="minorEastAsia" w:eastAsiaTheme="minorEastAsia"/>
          <w:b w:val="0"/>
          <w:sz w:val="24"/>
        </w:rPr>
        <w:t>，不超过</w:t>
      </w:r>
      <w:r>
        <w:rPr>
          <w:rStyle w:val="27"/>
          <w:rFonts w:asciiTheme="minorEastAsia" w:hAnsiTheme="minorEastAsia" w:eastAsiaTheme="minorEastAsia"/>
          <w:b w:val="0"/>
          <w:sz w:val="24"/>
        </w:rPr>
        <w:t>±0.003℃/min。</w:t>
      </w:r>
      <w:bookmarkEnd w:id="30"/>
      <w:bookmarkEnd w:id="31"/>
      <w:bookmarkEnd w:id="32"/>
      <w:bookmarkEnd w:id="33"/>
    </w:p>
    <w:p w14:paraId="5E9E50B5">
      <w:pPr>
        <w:pStyle w:val="3"/>
        <w:spacing w:before="0" w:after="0" w:line="360" w:lineRule="auto"/>
        <w:rPr>
          <w:rStyle w:val="27"/>
          <w:rFonts w:asciiTheme="minorEastAsia" w:hAnsiTheme="minorEastAsia" w:eastAsiaTheme="minorEastAsia"/>
          <w:b w:val="0"/>
          <w:bCs/>
          <w:sz w:val="24"/>
        </w:rPr>
      </w:pPr>
      <w:bookmarkStart w:id="34" w:name="_Toc121724282"/>
      <w:bookmarkStart w:id="35" w:name="_Toc184839103"/>
      <w:r>
        <w:rPr>
          <w:rStyle w:val="27"/>
          <w:rFonts w:hint="eastAsia" w:asciiTheme="minorEastAsia" w:hAnsiTheme="minorEastAsia" w:eastAsiaTheme="minorEastAsia"/>
          <w:b w:val="0"/>
          <w:bCs w:val="0"/>
          <w:sz w:val="24"/>
          <w:szCs w:val="24"/>
        </w:rPr>
        <w:t>5</w:t>
      </w:r>
      <w:r>
        <w:rPr>
          <w:rStyle w:val="27"/>
          <w:rFonts w:asciiTheme="minorEastAsia" w:hAnsiTheme="minorEastAsia" w:eastAsiaTheme="minorEastAsia"/>
          <w:b w:val="0"/>
          <w:bCs w:val="0"/>
          <w:sz w:val="24"/>
          <w:szCs w:val="24"/>
        </w:rPr>
        <w:t xml:space="preserve">.2 </w:t>
      </w:r>
      <w:bookmarkEnd w:id="34"/>
      <w:r>
        <w:rPr>
          <w:rStyle w:val="27"/>
          <w:rFonts w:hint="eastAsia" w:asciiTheme="minorEastAsia" w:hAnsiTheme="minorEastAsia" w:eastAsiaTheme="minorEastAsia"/>
          <w:b w:val="0"/>
          <w:bCs/>
          <w:sz w:val="24"/>
        </w:rPr>
        <w:t>电池充放电产热量相对误差</w:t>
      </w:r>
    </w:p>
    <w:p w14:paraId="5D5A58CA">
      <w:pPr>
        <w:autoSpaceDE w:val="0"/>
        <w:autoSpaceDN w:val="0"/>
        <w:spacing w:line="360" w:lineRule="auto"/>
        <w:ind w:left="2240" w:hanging="2240"/>
        <w:rPr>
          <w:rStyle w:val="27"/>
          <w:rFonts w:asciiTheme="minorEastAsia" w:hAnsiTheme="minorEastAsia" w:eastAsiaTheme="minorEastAsia"/>
          <w:b w:val="0"/>
          <w:sz w:val="24"/>
        </w:rPr>
      </w:pPr>
      <w:r>
        <w:rPr>
          <w:rStyle w:val="27"/>
          <w:rFonts w:asciiTheme="minorEastAsia" w:hAnsiTheme="minorEastAsia" w:eastAsiaTheme="minorEastAsia"/>
          <w:b w:val="0"/>
          <w:sz w:val="24"/>
        </w:rPr>
        <w:t xml:space="preserve">    标准样品</w:t>
      </w:r>
      <w:r>
        <w:rPr>
          <w:rStyle w:val="27"/>
          <w:rFonts w:hint="eastAsia" w:asciiTheme="minorEastAsia" w:hAnsiTheme="minorEastAsia" w:eastAsiaTheme="minorEastAsia"/>
          <w:b w:val="0"/>
          <w:sz w:val="24"/>
        </w:rPr>
        <w:t>产热量测量值与实际值之差，不超过</w:t>
      </w:r>
      <w:r>
        <w:rPr>
          <w:rStyle w:val="27"/>
          <w:rFonts w:asciiTheme="minorEastAsia" w:hAnsiTheme="minorEastAsia" w:eastAsiaTheme="minorEastAsia"/>
          <w:b w:val="0"/>
          <w:sz w:val="24"/>
        </w:rPr>
        <w:t>±</w:t>
      </w:r>
      <w:r>
        <w:rPr>
          <w:rStyle w:val="27"/>
          <w:rFonts w:hint="eastAsia" w:asciiTheme="minorEastAsia" w:hAnsiTheme="minorEastAsia" w:eastAsiaTheme="minorEastAsia"/>
          <w:b w:val="0"/>
          <w:sz w:val="24"/>
        </w:rPr>
        <w:t>6</w:t>
      </w:r>
      <w:r>
        <w:rPr>
          <w:rStyle w:val="27"/>
          <w:rFonts w:asciiTheme="minorEastAsia" w:hAnsiTheme="minorEastAsia" w:eastAsiaTheme="minorEastAsia"/>
          <w:b w:val="0"/>
          <w:sz w:val="24"/>
        </w:rPr>
        <w:t>%。</w:t>
      </w:r>
    </w:p>
    <w:bookmarkEnd w:id="35"/>
    <w:p w14:paraId="35E1D2AB">
      <w:pPr>
        <w:pStyle w:val="3"/>
        <w:spacing w:before="0" w:after="0" w:line="360" w:lineRule="auto"/>
        <w:rPr>
          <w:rStyle w:val="27"/>
          <w:rFonts w:asciiTheme="minorEastAsia" w:hAnsiTheme="minorEastAsia" w:eastAsiaTheme="minorEastAsia"/>
          <w:b w:val="0"/>
          <w:bCs/>
          <w:sz w:val="24"/>
          <w:szCs w:val="24"/>
        </w:rPr>
      </w:pPr>
      <w:bookmarkStart w:id="36" w:name="_Toc184839106"/>
      <w:r>
        <w:rPr>
          <w:rStyle w:val="27"/>
          <w:rFonts w:hint="eastAsia" w:asciiTheme="minorEastAsia" w:hAnsiTheme="minorEastAsia" w:eastAsiaTheme="minorEastAsia"/>
          <w:b w:val="0"/>
          <w:bCs w:val="0"/>
          <w:sz w:val="24"/>
          <w:szCs w:val="24"/>
        </w:rPr>
        <w:t>5</w:t>
      </w:r>
      <w:r>
        <w:rPr>
          <w:rStyle w:val="27"/>
          <w:rFonts w:asciiTheme="minorEastAsia" w:hAnsiTheme="minorEastAsia" w:eastAsiaTheme="minorEastAsia"/>
          <w:b w:val="0"/>
          <w:bCs w:val="0"/>
          <w:sz w:val="24"/>
          <w:szCs w:val="24"/>
        </w:rPr>
        <w:t>.</w:t>
      </w:r>
      <w:r>
        <w:rPr>
          <w:rStyle w:val="27"/>
          <w:rFonts w:hint="eastAsia" w:asciiTheme="minorEastAsia" w:hAnsiTheme="minorEastAsia" w:eastAsiaTheme="minorEastAsia"/>
          <w:b w:val="0"/>
          <w:bCs w:val="0"/>
          <w:sz w:val="24"/>
          <w:szCs w:val="24"/>
        </w:rPr>
        <w:t>3温度示值误差</w:t>
      </w:r>
    </w:p>
    <w:p w14:paraId="3C0B31E1">
      <w:pPr>
        <w:ind w:firstLine="420"/>
        <w:rPr>
          <w:rStyle w:val="27"/>
          <w:rFonts w:asciiTheme="minorEastAsia" w:hAnsiTheme="minorEastAsia" w:eastAsiaTheme="minorEastAsia"/>
          <w:b w:val="0"/>
          <w:sz w:val="24"/>
        </w:rPr>
      </w:pPr>
      <w:r>
        <w:rPr>
          <w:rStyle w:val="27"/>
          <w:rFonts w:asciiTheme="minorEastAsia" w:hAnsiTheme="minorEastAsia" w:eastAsiaTheme="minorEastAsia"/>
          <w:b w:val="0"/>
          <w:sz w:val="24"/>
        </w:rPr>
        <w:t>样品热电偶温度示值与实际值之差</w:t>
      </w:r>
      <w:r>
        <w:rPr>
          <w:rStyle w:val="27"/>
          <w:rFonts w:hint="eastAsia" w:asciiTheme="minorEastAsia" w:hAnsiTheme="minorEastAsia" w:eastAsiaTheme="minorEastAsia"/>
          <w:b w:val="0"/>
          <w:sz w:val="24"/>
        </w:rPr>
        <w:t>，不超过</w:t>
      </w:r>
      <w:r>
        <w:rPr>
          <w:rStyle w:val="27"/>
          <w:rFonts w:asciiTheme="minorEastAsia" w:hAnsiTheme="minorEastAsia" w:eastAsiaTheme="minorEastAsia"/>
          <w:b w:val="0"/>
          <w:sz w:val="24"/>
        </w:rPr>
        <w:t>±2℃</w:t>
      </w:r>
      <w:r>
        <w:rPr>
          <w:rStyle w:val="27"/>
          <w:rFonts w:hint="eastAsia" w:asciiTheme="minorEastAsia" w:hAnsiTheme="minorEastAsia" w:eastAsiaTheme="minorEastAsia"/>
          <w:b w:val="0"/>
          <w:sz w:val="24"/>
        </w:rPr>
        <w:t>。</w:t>
      </w:r>
      <w:bookmarkEnd w:id="36"/>
    </w:p>
    <w:p w14:paraId="588FC369">
      <w:pPr>
        <w:pStyle w:val="3"/>
        <w:spacing w:before="0" w:after="0" w:line="360" w:lineRule="auto"/>
        <w:rPr>
          <w:rStyle w:val="27"/>
          <w:rFonts w:asciiTheme="minorEastAsia" w:hAnsiTheme="minorEastAsia" w:eastAsiaTheme="minorEastAsia"/>
          <w:b w:val="0"/>
          <w:bCs/>
          <w:sz w:val="24"/>
          <w:szCs w:val="24"/>
        </w:rPr>
      </w:pPr>
      <w:bookmarkStart w:id="37" w:name="_Toc121724284"/>
      <w:bookmarkStart w:id="38" w:name="_Toc184839108"/>
      <w:r>
        <w:rPr>
          <w:rStyle w:val="27"/>
          <w:rFonts w:hint="eastAsia" w:asciiTheme="minorEastAsia" w:hAnsiTheme="minorEastAsia" w:eastAsiaTheme="minorEastAsia"/>
          <w:b w:val="0"/>
          <w:bCs w:val="0"/>
          <w:sz w:val="24"/>
          <w:szCs w:val="24"/>
        </w:rPr>
        <w:t>5</w:t>
      </w:r>
      <w:r>
        <w:rPr>
          <w:rStyle w:val="27"/>
          <w:rFonts w:asciiTheme="minorEastAsia" w:hAnsiTheme="minorEastAsia" w:eastAsiaTheme="minorEastAsia"/>
          <w:b w:val="0"/>
          <w:bCs w:val="0"/>
          <w:sz w:val="24"/>
          <w:szCs w:val="24"/>
        </w:rPr>
        <w:t>.</w:t>
      </w:r>
      <w:r>
        <w:rPr>
          <w:rStyle w:val="27"/>
          <w:rFonts w:hint="eastAsia" w:asciiTheme="minorEastAsia" w:hAnsiTheme="minorEastAsia" w:eastAsiaTheme="minorEastAsia"/>
          <w:b w:val="0"/>
          <w:bCs w:val="0"/>
          <w:sz w:val="24"/>
          <w:szCs w:val="24"/>
        </w:rPr>
        <w:t>4</w:t>
      </w:r>
      <w:r>
        <w:rPr>
          <w:rStyle w:val="27"/>
          <w:rFonts w:asciiTheme="minorEastAsia" w:hAnsiTheme="minorEastAsia" w:eastAsiaTheme="minorEastAsia"/>
          <w:b w:val="0"/>
          <w:bCs w:val="0"/>
          <w:sz w:val="24"/>
          <w:szCs w:val="24"/>
        </w:rPr>
        <w:t xml:space="preserve"> </w:t>
      </w:r>
      <w:bookmarkEnd w:id="37"/>
      <w:bookmarkEnd w:id="38"/>
      <w:r>
        <w:rPr>
          <w:rStyle w:val="27"/>
          <w:rFonts w:asciiTheme="minorEastAsia" w:hAnsiTheme="minorEastAsia" w:eastAsiaTheme="minorEastAsia"/>
          <w:b w:val="0"/>
          <w:bCs w:val="0"/>
          <w:sz w:val="24"/>
          <w:szCs w:val="24"/>
        </w:rPr>
        <w:t>温度波动度</w:t>
      </w:r>
    </w:p>
    <w:p w14:paraId="1FDB0449">
      <w:pPr>
        <w:spacing w:afterLines="100"/>
        <w:rPr>
          <w:b/>
        </w:rPr>
      </w:pPr>
      <w:r>
        <w:rPr>
          <w:rStyle w:val="27"/>
          <w:rFonts w:asciiTheme="minorEastAsia" w:hAnsiTheme="minorEastAsia" w:eastAsiaTheme="minorEastAsia"/>
          <w:b w:val="0"/>
          <w:sz w:val="24"/>
        </w:rPr>
        <w:t xml:space="preserve">    </w:t>
      </w:r>
      <w:r>
        <w:rPr>
          <w:rStyle w:val="27"/>
          <w:rFonts w:hint="eastAsia" w:asciiTheme="minorEastAsia" w:hAnsiTheme="minorEastAsia" w:eastAsiaTheme="minorEastAsia"/>
          <w:b w:val="0"/>
          <w:sz w:val="24"/>
        </w:rPr>
        <w:t>量热炉体几何中心位置</w:t>
      </w:r>
      <w:r>
        <w:rPr>
          <w:rStyle w:val="27"/>
          <w:rFonts w:asciiTheme="minorEastAsia" w:hAnsiTheme="minorEastAsia" w:eastAsiaTheme="minorEastAsia"/>
          <w:b w:val="0"/>
          <w:sz w:val="24"/>
        </w:rPr>
        <w:t>温度随时间变</w:t>
      </w:r>
      <w:r>
        <w:rPr>
          <w:bCs/>
        </w:rPr>
        <w:t>化量，</w:t>
      </w:r>
      <w:r>
        <w:rPr>
          <w:rFonts w:hint="eastAsia"/>
          <w:bCs/>
        </w:rPr>
        <w:t>30min内</w:t>
      </w:r>
      <w:r>
        <w:rPr>
          <w:bCs/>
        </w:rPr>
        <w:t>不超过±0.</w:t>
      </w:r>
      <w:r>
        <w:rPr>
          <w:rFonts w:hint="eastAsia"/>
          <w:bCs/>
        </w:rPr>
        <w:t>5</w:t>
      </w:r>
      <w:r>
        <w:rPr>
          <w:bCs/>
        </w:rPr>
        <w:t>℃</w:t>
      </w:r>
      <w:bookmarkStart w:id="39" w:name="_Toc121724480"/>
      <w:bookmarkStart w:id="40" w:name="_Toc121724285"/>
      <w:r>
        <w:rPr>
          <w:bCs/>
        </w:rPr>
        <w:t>。</w:t>
      </w:r>
      <w:bookmarkEnd w:id="39"/>
      <w:bookmarkEnd w:id="40"/>
    </w:p>
    <w:p w14:paraId="41D34B80">
      <w:pPr>
        <w:spacing w:afterLines="50"/>
        <w:rPr>
          <w:rStyle w:val="27"/>
          <w:b w:val="0"/>
          <w:sz w:val="24"/>
        </w:rPr>
      </w:pPr>
      <w:r>
        <w:rPr>
          <w:bCs/>
          <w:szCs w:val="21"/>
        </w:rPr>
        <w:t>注：以上技术指标不用于合格性判定，仅供参考。</w:t>
      </w:r>
    </w:p>
    <w:p w14:paraId="7E8FB13D">
      <w:pPr>
        <w:pStyle w:val="2"/>
        <w:spacing w:beforeLines="100" w:after="0" w:line="360" w:lineRule="auto"/>
        <w:rPr>
          <w:rFonts w:ascii="黑体" w:hAnsi="黑体" w:eastAsia="黑体"/>
          <w:b w:val="0"/>
          <w:sz w:val="24"/>
          <w:szCs w:val="24"/>
        </w:rPr>
      </w:pPr>
      <w:bookmarkStart w:id="41" w:name="_Toc184839111"/>
      <w:bookmarkStart w:id="42" w:name="_Toc7696"/>
      <w:r>
        <w:rPr>
          <w:rFonts w:hint="eastAsia" w:ascii="黑体" w:hAnsi="黑体" w:eastAsia="黑体"/>
          <w:b w:val="0"/>
          <w:sz w:val="24"/>
          <w:szCs w:val="24"/>
        </w:rPr>
        <w:t>6</w:t>
      </w:r>
      <w:r>
        <w:rPr>
          <w:rFonts w:ascii="黑体" w:hAnsi="黑体" w:eastAsia="黑体"/>
          <w:b w:val="0"/>
          <w:sz w:val="24"/>
          <w:szCs w:val="24"/>
        </w:rPr>
        <w:t xml:space="preserve"> 校准条件</w:t>
      </w:r>
      <w:bookmarkEnd w:id="26"/>
      <w:bookmarkEnd w:id="27"/>
      <w:bookmarkEnd w:id="41"/>
      <w:bookmarkEnd w:id="42"/>
    </w:p>
    <w:p w14:paraId="0F4C5DBD">
      <w:pPr>
        <w:pStyle w:val="3"/>
        <w:spacing w:beforeLines="50" w:after="0" w:line="360" w:lineRule="auto"/>
        <w:rPr>
          <w:rStyle w:val="27"/>
          <w:rFonts w:ascii="Times New Roman" w:hAnsi="Times New Roman" w:eastAsia="宋体"/>
          <w:b w:val="0"/>
          <w:bCs/>
          <w:sz w:val="24"/>
          <w:szCs w:val="24"/>
        </w:rPr>
      </w:pPr>
      <w:bookmarkStart w:id="43" w:name="_Toc184839112"/>
      <w:bookmarkStart w:id="44" w:name="_Toc121724289"/>
      <w:bookmarkStart w:id="45" w:name="_Toc2948"/>
      <w:bookmarkStart w:id="46" w:name="_Toc17654"/>
      <w:bookmarkStart w:id="47" w:name="_Toc9397"/>
      <w:r>
        <w:rPr>
          <w:rStyle w:val="27"/>
          <w:rFonts w:hint="eastAsia" w:ascii="Times New Roman" w:hAnsi="Times New Roman" w:eastAsia="宋体"/>
          <w:b w:val="0"/>
          <w:bCs w:val="0"/>
          <w:sz w:val="24"/>
          <w:szCs w:val="24"/>
        </w:rPr>
        <w:t>6</w:t>
      </w:r>
      <w:r>
        <w:rPr>
          <w:rStyle w:val="27"/>
          <w:rFonts w:ascii="Times New Roman" w:hAnsi="Times New Roman" w:eastAsia="宋体"/>
          <w:b w:val="0"/>
          <w:bCs w:val="0"/>
          <w:sz w:val="24"/>
          <w:szCs w:val="24"/>
        </w:rPr>
        <w:t>.1 环境条件</w:t>
      </w:r>
      <w:bookmarkEnd w:id="43"/>
      <w:bookmarkEnd w:id="44"/>
    </w:p>
    <w:bookmarkEnd w:id="45"/>
    <w:bookmarkEnd w:id="46"/>
    <w:bookmarkEnd w:id="47"/>
    <w:p w14:paraId="59933561">
      <w:pPr>
        <w:tabs>
          <w:tab w:val="left" w:pos="540"/>
        </w:tabs>
        <w:autoSpaceDE w:val="0"/>
        <w:autoSpaceDN w:val="0"/>
        <w:spacing w:line="360" w:lineRule="auto"/>
        <w:rPr>
          <w:bCs/>
          <w:sz w:val="24"/>
          <w:lang w:val="zh-CN"/>
        </w:rPr>
      </w:pPr>
      <w:r>
        <w:rPr>
          <w:rFonts w:hint="eastAsia"/>
          <w:bCs/>
          <w:sz w:val="24"/>
          <w:lang w:val="zh-CN"/>
        </w:rPr>
        <w:t>6</w:t>
      </w:r>
      <w:r>
        <w:rPr>
          <w:bCs/>
          <w:sz w:val="24"/>
          <w:lang w:val="zh-CN"/>
        </w:rPr>
        <w:t>.1.1</w:t>
      </w:r>
      <w:r>
        <w:rPr>
          <w:bCs/>
          <w:sz w:val="24"/>
        </w:rPr>
        <w:t xml:space="preserve"> 环境温度：（15~35）℃</w:t>
      </w:r>
      <w:r>
        <w:rPr>
          <w:bCs/>
          <w:sz w:val="24"/>
          <w:lang w:val="zh-CN"/>
        </w:rPr>
        <w:t xml:space="preserve"> </w:t>
      </w:r>
    </w:p>
    <w:p w14:paraId="22D1A0B7">
      <w:pPr>
        <w:tabs>
          <w:tab w:val="left" w:pos="540"/>
        </w:tabs>
        <w:autoSpaceDE w:val="0"/>
        <w:autoSpaceDN w:val="0"/>
        <w:spacing w:line="360" w:lineRule="auto"/>
        <w:rPr>
          <w:bCs/>
          <w:sz w:val="24"/>
          <w:lang w:val="zh-CN"/>
        </w:rPr>
      </w:pPr>
      <w:r>
        <w:rPr>
          <w:rFonts w:hint="eastAsia"/>
          <w:bCs/>
          <w:sz w:val="24"/>
        </w:rPr>
        <w:t>6</w:t>
      </w:r>
      <w:r>
        <w:rPr>
          <w:bCs/>
          <w:sz w:val="24"/>
        </w:rPr>
        <w:t xml:space="preserve">.1.2 </w:t>
      </w:r>
      <w:r>
        <w:rPr>
          <w:bCs/>
          <w:sz w:val="24"/>
          <w:lang w:val="zh-CN"/>
        </w:rPr>
        <w:t>相对湿度：</w:t>
      </w:r>
      <w:r>
        <w:rPr>
          <w:rFonts w:hint="eastAsia"/>
          <w:bCs/>
          <w:sz w:val="24"/>
          <w:lang w:val="zh-CN"/>
        </w:rPr>
        <w:t>≤</w:t>
      </w:r>
      <w:r>
        <w:rPr>
          <w:bCs/>
          <w:sz w:val="24"/>
        </w:rPr>
        <w:t>85</w:t>
      </w:r>
      <w:r>
        <w:rPr>
          <w:bCs/>
          <w:sz w:val="24"/>
          <w:lang w:val="zh-CN"/>
        </w:rPr>
        <w:t>%。</w:t>
      </w:r>
    </w:p>
    <w:p w14:paraId="2D709378">
      <w:pPr>
        <w:tabs>
          <w:tab w:val="left" w:pos="540"/>
        </w:tabs>
        <w:autoSpaceDE w:val="0"/>
        <w:autoSpaceDN w:val="0"/>
        <w:spacing w:line="360" w:lineRule="auto"/>
        <w:rPr>
          <w:bCs/>
          <w:sz w:val="24"/>
          <w:lang w:val="zh-CN"/>
        </w:rPr>
      </w:pPr>
      <w:r>
        <w:rPr>
          <w:rFonts w:hint="eastAsia"/>
          <w:bCs/>
          <w:sz w:val="24"/>
          <w:lang w:val="zh-CN"/>
        </w:rPr>
        <w:t>6</w:t>
      </w:r>
      <w:r>
        <w:rPr>
          <w:bCs/>
          <w:sz w:val="24"/>
          <w:lang w:val="zh-CN"/>
        </w:rPr>
        <w:t>.1.</w:t>
      </w:r>
      <w:r>
        <w:rPr>
          <w:bCs/>
          <w:sz w:val="24"/>
        </w:rPr>
        <w:t>3 仪器</w:t>
      </w:r>
      <w:r>
        <w:rPr>
          <w:bCs/>
          <w:sz w:val="24"/>
          <w:lang w:val="zh-CN"/>
        </w:rPr>
        <w:t>周围应无强烈振动及腐蚀性气体存在，应避免其他冷、热源影响。实际工作中，环境条件还应满足标准器正常使用的要求。</w:t>
      </w:r>
    </w:p>
    <w:p w14:paraId="06DA57CD">
      <w:pPr>
        <w:pStyle w:val="3"/>
        <w:spacing w:beforeLines="50" w:after="0" w:line="360" w:lineRule="auto"/>
        <w:rPr>
          <w:rStyle w:val="27"/>
          <w:rFonts w:ascii="Times New Roman" w:hAnsi="Times New Roman" w:eastAsia="宋体"/>
          <w:b w:val="0"/>
          <w:bCs/>
          <w:sz w:val="24"/>
          <w:szCs w:val="24"/>
        </w:rPr>
      </w:pPr>
      <w:bookmarkStart w:id="48" w:name="_Toc18296"/>
      <w:bookmarkStart w:id="49" w:name="_Toc867"/>
      <w:bookmarkStart w:id="50" w:name="_Toc121724290"/>
      <w:bookmarkStart w:id="51" w:name="_Toc184839113"/>
      <w:bookmarkStart w:id="52" w:name="_Toc14011"/>
      <w:r>
        <w:rPr>
          <w:rStyle w:val="27"/>
          <w:rFonts w:hint="eastAsia" w:ascii="Times New Roman" w:hAnsi="Times New Roman" w:eastAsia="宋体"/>
          <w:b w:val="0"/>
          <w:bCs w:val="0"/>
          <w:sz w:val="24"/>
          <w:szCs w:val="24"/>
        </w:rPr>
        <w:t>6</w:t>
      </w:r>
      <w:r>
        <w:rPr>
          <w:rStyle w:val="27"/>
          <w:rFonts w:ascii="Times New Roman" w:hAnsi="Times New Roman" w:eastAsia="宋体"/>
          <w:b w:val="0"/>
          <w:bCs w:val="0"/>
          <w:sz w:val="24"/>
          <w:szCs w:val="24"/>
        </w:rPr>
        <w:t>.2 计量标准器及主要配套设备</w:t>
      </w:r>
      <w:bookmarkEnd w:id="48"/>
      <w:bookmarkEnd w:id="49"/>
      <w:bookmarkEnd w:id="50"/>
      <w:bookmarkEnd w:id="51"/>
      <w:bookmarkEnd w:id="52"/>
    </w:p>
    <w:p w14:paraId="489E6051">
      <w:pPr>
        <w:spacing w:line="360" w:lineRule="auto"/>
        <w:rPr>
          <w:rStyle w:val="27"/>
          <w:rFonts w:ascii="Times New Roman" w:hAnsi="Times New Roman" w:eastAsia="宋体"/>
          <w:b w:val="0"/>
          <w:sz w:val="24"/>
          <w:szCs w:val="24"/>
        </w:rPr>
      </w:pPr>
      <w:r>
        <w:rPr>
          <w:rStyle w:val="27"/>
          <w:rFonts w:hint="eastAsia" w:ascii="Times New Roman" w:hAnsi="Times New Roman" w:eastAsia="宋体"/>
          <w:b w:val="0"/>
          <w:sz w:val="24"/>
          <w:szCs w:val="24"/>
        </w:rPr>
        <w:t>校准用标准器及配套设备如表1所示。</w:t>
      </w:r>
    </w:p>
    <w:p w14:paraId="5D76CA0B">
      <w:pPr>
        <w:spacing w:line="360" w:lineRule="auto"/>
        <w:jc w:val="center"/>
        <w:rPr>
          <w:rStyle w:val="27"/>
          <w:rFonts w:ascii="黑体" w:hAnsi="黑体"/>
          <w:b w:val="0"/>
          <w:sz w:val="24"/>
          <w:szCs w:val="24"/>
        </w:rPr>
      </w:pPr>
      <w:r>
        <w:rPr>
          <w:rStyle w:val="27"/>
          <w:rFonts w:hint="eastAsia" w:ascii="黑体" w:hAnsi="黑体"/>
          <w:b w:val="0"/>
          <w:sz w:val="24"/>
          <w:szCs w:val="24"/>
        </w:rPr>
        <w:t>表1 校准用标准器及配套设备一览表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471"/>
        <w:gridCol w:w="4325"/>
      </w:tblGrid>
      <w:tr w14:paraId="1D2A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C33B4BC">
            <w:pPr>
              <w:spacing w:line="360" w:lineRule="auto"/>
              <w:jc w:val="center"/>
              <w:rPr>
                <w:rFonts w:eastAsiaTheme="minorEastAsia"/>
                <w:bCs/>
                <w:sz w:val="24"/>
              </w:rPr>
            </w:pPr>
            <w:r>
              <w:rPr>
                <w:rFonts w:hint="eastAsia" w:eastAsiaTheme="minorEastAsia"/>
                <w:bCs/>
                <w:sz w:val="24"/>
              </w:rPr>
              <w:t>序号</w:t>
            </w:r>
          </w:p>
        </w:tc>
        <w:tc>
          <w:tcPr>
            <w:tcW w:w="3471" w:type="dxa"/>
            <w:vAlign w:val="center"/>
          </w:tcPr>
          <w:p w14:paraId="54481821">
            <w:pPr>
              <w:spacing w:line="360" w:lineRule="auto"/>
              <w:jc w:val="center"/>
              <w:rPr>
                <w:rFonts w:eastAsiaTheme="minorEastAsia"/>
                <w:bCs/>
                <w:sz w:val="24"/>
              </w:rPr>
            </w:pPr>
            <w:r>
              <w:rPr>
                <w:rFonts w:hint="eastAsia" w:eastAsiaTheme="minorEastAsia"/>
                <w:bCs/>
                <w:sz w:val="24"/>
              </w:rPr>
              <w:t>主要标准器</w:t>
            </w:r>
          </w:p>
        </w:tc>
        <w:tc>
          <w:tcPr>
            <w:tcW w:w="4325" w:type="dxa"/>
            <w:vAlign w:val="center"/>
          </w:tcPr>
          <w:p w14:paraId="41242A46">
            <w:pPr>
              <w:spacing w:line="360" w:lineRule="auto"/>
              <w:jc w:val="center"/>
              <w:rPr>
                <w:rFonts w:eastAsiaTheme="minorEastAsia"/>
                <w:bCs/>
                <w:sz w:val="24"/>
              </w:rPr>
            </w:pPr>
            <w:r>
              <w:rPr>
                <w:rFonts w:hint="eastAsia" w:eastAsiaTheme="minorEastAsia"/>
                <w:bCs/>
                <w:sz w:val="24"/>
              </w:rPr>
              <w:t>技术要求</w:t>
            </w:r>
          </w:p>
        </w:tc>
      </w:tr>
      <w:tr w14:paraId="3D82A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D0C4DB0">
            <w:pPr>
              <w:spacing w:line="360" w:lineRule="auto"/>
              <w:jc w:val="center"/>
              <w:rPr>
                <w:rFonts w:eastAsiaTheme="minorEastAsia"/>
                <w:bCs/>
                <w:sz w:val="24"/>
              </w:rPr>
            </w:pPr>
            <w:r>
              <w:rPr>
                <w:rFonts w:hint="eastAsia" w:eastAsiaTheme="minorEastAsia"/>
                <w:bCs/>
                <w:sz w:val="24"/>
              </w:rPr>
              <w:t>1</w:t>
            </w:r>
          </w:p>
        </w:tc>
        <w:tc>
          <w:tcPr>
            <w:tcW w:w="3471" w:type="dxa"/>
            <w:vAlign w:val="center"/>
          </w:tcPr>
          <w:p w14:paraId="0903E74E">
            <w:pPr>
              <w:spacing w:line="360" w:lineRule="auto"/>
              <w:jc w:val="center"/>
              <w:rPr>
                <w:rFonts w:eastAsiaTheme="minorEastAsia"/>
                <w:bCs/>
                <w:sz w:val="24"/>
              </w:rPr>
            </w:pPr>
            <w:r>
              <w:rPr>
                <w:rFonts w:hint="eastAsia" w:eastAsiaTheme="minorEastAsia"/>
                <w:bCs/>
                <w:sz w:val="24"/>
              </w:rPr>
              <w:t>标准直流电流源</w:t>
            </w:r>
          </w:p>
        </w:tc>
        <w:tc>
          <w:tcPr>
            <w:tcW w:w="4325" w:type="dxa"/>
            <w:vAlign w:val="center"/>
          </w:tcPr>
          <w:p w14:paraId="254236CE">
            <w:pPr>
              <w:spacing w:line="360" w:lineRule="auto"/>
              <w:rPr>
                <w:rFonts w:eastAsiaTheme="minorEastAsia"/>
                <w:bCs/>
                <w:sz w:val="24"/>
              </w:rPr>
            </w:pPr>
            <w:r>
              <w:rPr>
                <w:rFonts w:eastAsiaTheme="minorEastAsia"/>
                <w:bCs/>
                <w:sz w:val="24"/>
              </w:rPr>
              <w:t>最大输出功率：200 W；</w:t>
            </w:r>
          </w:p>
          <w:p w14:paraId="0D6A4061">
            <w:pPr>
              <w:spacing w:line="360" w:lineRule="auto"/>
              <w:rPr>
                <w:rFonts w:eastAsiaTheme="minorEastAsia"/>
                <w:bCs/>
                <w:sz w:val="24"/>
              </w:rPr>
            </w:pPr>
            <w:r>
              <w:rPr>
                <w:rFonts w:eastAsiaTheme="minorEastAsia"/>
                <w:bCs/>
                <w:sz w:val="24"/>
              </w:rPr>
              <w:t>功率分辨率：优于10mW；</w:t>
            </w:r>
          </w:p>
          <w:p w14:paraId="0335D350">
            <w:pPr>
              <w:spacing w:line="360" w:lineRule="auto"/>
              <w:rPr>
                <w:rFonts w:eastAsiaTheme="minorEastAsia"/>
                <w:bCs/>
                <w:sz w:val="24"/>
              </w:rPr>
            </w:pPr>
            <w:r>
              <w:rPr>
                <w:rFonts w:eastAsiaTheme="minorEastAsia"/>
                <w:bCs/>
                <w:sz w:val="24"/>
              </w:rPr>
              <w:t>最大输出电压： 50V</w:t>
            </w:r>
          </w:p>
          <w:p w14:paraId="20771842">
            <w:pPr>
              <w:spacing w:line="360" w:lineRule="auto"/>
              <w:rPr>
                <w:rFonts w:eastAsiaTheme="minorEastAsia"/>
                <w:bCs/>
                <w:sz w:val="24"/>
              </w:rPr>
            </w:pPr>
            <w:r>
              <w:rPr>
                <w:rFonts w:eastAsiaTheme="minorEastAsia"/>
                <w:bCs/>
                <w:sz w:val="24"/>
              </w:rPr>
              <w:t>最大输出电流：4A</w:t>
            </w:r>
          </w:p>
          <w:p w14:paraId="1205FE47">
            <w:pPr>
              <w:spacing w:line="360" w:lineRule="auto"/>
              <w:rPr>
                <w:rFonts w:eastAsiaTheme="minorEastAsia"/>
                <w:bCs/>
                <w:sz w:val="24"/>
              </w:rPr>
            </w:pPr>
            <w:r>
              <w:rPr>
                <w:rFonts w:hint="eastAsia" w:eastAsiaTheme="minorEastAsia"/>
                <w:bCs/>
                <w:sz w:val="24"/>
              </w:rPr>
              <w:t>稳压输出周期和随机偏差的</w:t>
            </w:r>
            <w:r>
              <w:rPr>
                <w:rFonts w:eastAsiaTheme="minorEastAsia"/>
                <w:bCs/>
                <w:sz w:val="24"/>
              </w:rPr>
              <w:t>有效值：优于500 μV；</w:t>
            </w:r>
          </w:p>
          <w:p w14:paraId="55212B6D">
            <w:pPr>
              <w:spacing w:line="360" w:lineRule="auto"/>
              <w:rPr>
                <w:rFonts w:eastAsiaTheme="minorEastAsia"/>
                <w:bCs/>
                <w:sz w:val="24"/>
              </w:rPr>
            </w:pPr>
            <w:r>
              <w:rPr>
                <w:rFonts w:hint="eastAsia" w:eastAsiaTheme="minorEastAsia"/>
                <w:bCs/>
                <w:sz w:val="24"/>
              </w:rPr>
              <w:t>稳流输出周期和随机偏差的</w:t>
            </w:r>
            <w:r>
              <w:rPr>
                <w:rFonts w:eastAsiaTheme="minorEastAsia"/>
                <w:bCs/>
                <w:sz w:val="24"/>
              </w:rPr>
              <w:t>有效值：优于</w:t>
            </w:r>
            <w:r>
              <w:rPr>
                <w:rFonts w:hint="eastAsia" w:eastAsiaTheme="minorEastAsia"/>
                <w:bCs/>
                <w:sz w:val="24"/>
              </w:rPr>
              <w:t>5</w:t>
            </w:r>
            <w:r>
              <w:rPr>
                <w:rFonts w:eastAsiaTheme="minorEastAsia"/>
                <w:bCs/>
                <w:sz w:val="24"/>
              </w:rPr>
              <w:t xml:space="preserve"> mA；</w:t>
            </w:r>
          </w:p>
          <w:p w14:paraId="66490B88">
            <w:pPr>
              <w:spacing w:line="360" w:lineRule="auto"/>
              <w:rPr>
                <w:rFonts w:eastAsiaTheme="minorEastAsia"/>
                <w:bCs/>
                <w:sz w:val="24"/>
              </w:rPr>
            </w:pPr>
            <w:r>
              <w:rPr>
                <w:rFonts w:eastAsiaTheme="minorEastAsia"/>
                <w:bCs/>
                <w:sz w:val="24"/>
              </w:rPr>
              <w:t>电压回读</w:t>
            </w:r>
            <w:r>
              <w:rPr>
                <w:rFonts w:hint="eastAsia" w:eastAsiaTheme="minorEastAsia"/>
                <w:bCs/>
                <w:sz w:val="24"/>
              </w:rPr>
              <w:t>MPE</w:t>
            </w:r>
            <w:r>
              <w:rPr>
                <w:rFonts w:eastAsiaTheme="minorEastAsia"/>
                <w:bCs/>
                <w:sz w:val="24"/>
              </w:rPr>
              <w:t>：± 0.5 %；</w:t>
            </w:r>
          </w:p>
          <w:p w14:paraId="1FC09C4F">
            <w:pPr>
              <w:spacing w:line="360" w:lineRule="auto"/>
              <w:rPr>
                <w:rFonts w:eastAsiaTheme="minorEastAsia"/>
                <w:bCs/>
                <w:sz w:val="24"/>
              </w:rPr>
            </w:pPr>
            <w:r>
              <w:rPr>
                <w:rFonts w:eastAsiaTheme="minorEastAsia"/>
                <w:bCs/>
                <w:sz w:val="24"/>
              </w:rPr>
              <w:t>电流回读</w:t>
            </w:r>
            <w:r>
              <w:rPr>
                <w:rFonts w:hint="eastAsia" w:eastAsiaTheme="minorEastAsia"/>
                <w:bCs/>
                <w:sz w:val="24"/>
              </w:rPr>
              <w:t>MPE</w:t>
            </w:r>
            <w:r>
              <w:rPr>
                <w:rFonts w:eastAsiaTheme="minorEastAsia"/>
                <w:bCs/>
                <w:sz w:val="24"/>
              </w:rPr>
              <w:t>：± 0.5%</w:t>
            </w:r>
          </w:p>
        </w:tc>
      </w:tr>
      <w:tr w14:paraId="15FC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DA6A0B2">
            <w:pPr>
              <w:spacing w:line="360" w:lineRule="auto"/>
              <w:jc w:val="center"/>
              <w:rPr>
                <w:rFonts w:eastAsiaTheme="minorEastAsia"/>
                <w:bCs/>
                <w:sz w:val="24"/>
              </w:rPr>
            </w:pPr>
            <w:r>
              <w:rPr>
                <w:rFonts w:hint="eastAsia" w:eastAsiaTheme="minorEastAsia"/>
                <w:bCs/>
                <w:sz w:val="24"/>
              </w:rPr>
              <w:t>2</w:t>
            </w:r>
          </w:p>
        </w:tc>
        <w:tc>
          <w:tcPr>
            <w:tcW w:w="3471" w:type="dxa"/>
            <w:vAlign w:val="center"/>
          </w:tcPr>
          <w:p w14:paraId="4B882876">
            <w:pPr>
              <w:spacing w:line="360" w:lineRule="auto"/>
              <w:jc w:val="center"/>
              <w:rPr>
                <w:rFonts w:eastAsiaTheme="minorEastAsia"/>
                <w:bCs/>
                <w:sz w:val="24"/>
              </w:rPr>
            </w:pPr>
            <w:r>
              <w:rPr>
                <w:rFonts w:hint="eastAsia"/>
                <w:sz w:val="24"/>
                <w:lang w:val="zh-CN"/>
              </w:rPr>
              <w:t>多通道温度测量装置（配铂电阻温度计）</w:t>
            </w:r>
          </w:p>
        </w:tc>
        <w:tc>
          <w:tcPr>
            <w:tcW w:w="4325" w:type="dxa"/>
            <w:vAlign w:val="center"/>
          </w:tcPr>
          <w:p w14:paraId="4146FD1A">
            <w:pPr>
              <w:spacing w:line="360" w:lineRule="auto"/>
              <w:jc w:val="center"/>
              <w:rPr>
                <w:rFonts w:eastAsiaTheme="minorEastAsia"/>
                <w:bCs/>
                <w:sz w:val="24"/>
              </w:rPr>
            </w:pPr>
            <w:r>
              <w:rPr>
                <w:sz w:val="24"/>
                <w:lang w:val="zh-CN"/>
              </w:rPr>
              <w:t>测量范围为（0~200）</w:t>
            </w:r>
            <w:r>
              <w:rPr>
                <w:rFonts w:hint="eastAsia" w:ascii="宋体" w:hAnsi="宋体" w:cs="宋体"/>
                <w:sz w:val="24"/>
                <w:lang w:val="zh-CN"/>
              </w:rPr>
              <w:t>℃</w:t>
            </w:r>
            <w:r>
              <w:rPr>
                <w:sz w:val="24"/>
                <w:lang w:val="zh-CN"/>
              </w:rPr>
              <w:t>，分辨力</w:t>
            </w:r>
            <w:r>
              <w:rPr>
                <w:rFonts w:hint="eastAsia"/>
                <w:sz w:val="24"/>
                <w:lang w:val="zh-CN"/>
              </w:rPr>
              <w:t>优于</w:t>
            </w:r>
            <w:r>
              <w:rPr>
                <w:sz w:val="24"/>
                <w:lang w:val="zh-CN"/>
              </w:rPr>
              <w:t xml:space="preserve">0.01 </w:t>
            </w:r>
            <w:r>
              <w:rPr>
                <w:rFonts w:hint="eastAsia" w:ascii="宋体" w:hAnsi="宋体" w:cs="宋体"/>
                <w:sz w:val="24"/>
                <w:lang w:val="zh-CN"/>
              </w:rPr>
              <w:t>℃</w:t>
            </w:r>
            <w:r>
              <w:rPr>
                <w:sz w:val="24"/>
                <w:lang w:val="zh-CN"/>
              </w:rPr>
              <w:t>，</w:t>
            </w:r>
            <w:r>
              <w:rPr>
                <w:rFonts w:hint="eastAsia"/>
                <w:sz w:val="24"/>
                <w:lang w:val="zh-CN"/>
              </w:rPr>
              <w:t>MPE：</w:t>
            </w:r>
            <w:r>
              <w:rPr>
                <w:sz w:val="24"/>
                <w:lang w:val="zh-CN"/>
              </w:rPr>
              <w:t>±</w:t>
            </w:r>
            <w:r>
              <w:rPr>
                <w:rFonts w:hint="eastAsia"/>
                <w:sz w:val="24"/>
                <w:lang w:val="zh-CN"/>
              </w:rPr>
              <w:t>（</w:t>
            </w:r>
            <w:r>
              <w:rPr>
                <w:sz w:val="24"/>
                <w:lang w:val="zh-CN"/>
              </w:rPr>
              <w:t>0.15</w:t>
            </w:r>
            <w:r>
              <w:rPr>
                <w:rFonts w:hint="eastAsia" w:ascii="宋体" w:hAnsi="宋体" w:cs="宋体"/>
                <w:sz w:val="24"/>
                <w:lang w:val="zh-CN"/>
              </w:rPr>
              <w:t>℃</w:t>
            </w:r>
            <w:r>
              <w:rPr>
                <w:sz w:val="24"/>
                <w:lang w:val="zh-CN"/>
              </w:rPr>
              <w:t>+0.002</w:t>
            </w:r>
            <m:oMath>
              <m:d>
                <m:dPr>
                  <m:begChr m:val="|"/>
                  <m:endChr m:val="|"/>
                  <m:ctrlPr>
                    <w:rPr>
                      <w:rFonts w:ascii="Cambria Math" w:hAnsi="Cambria Math"/>
                      <w:i/>
                      <w:sz w:val="24"/>
                      <w:lang w:val="zh-CN"/>
                    </w:rPr>
                  </m:ctrlPr>
                </m:dPr>
                <m:e>
                  <m:r>
                    <m:rPr/>
                    <w:rPr>
                      <w:rFonts w:ascii="Cambria Math" w:hAnsi="Cambria Math"/>
                      <w:sz w:val="24"/>
                    </w:rPr>
                    <m:t>t</m:t>
                  </m:r>
                  <m:ctrlPr>
                    <w:rPr>
                      <w:rFonts w:ascii="Cambria Math" w:hAnsi="Cambria Math"/>
                      <w:i/>
                      <w:sz w:val="24"/>
                      <w:lang w:val="zh-CN"/>
                    </w:rPr>
                  </m:ctrlPr>
                </m:e>
              </m:d>
            </m:oMath>
            <w:r>
              <w:rPr>
                <w:rFonts w:hint="eastAsia"/>
                <w:sz w:val="24"/>
                <w:lang w:val="zh-CN"/>
              </w:rPr>
              <w:t>）（</w:t>
            </w:r>
            <m:oMath>
              <m:d>
                <m:dPr>
                  <m:begChr m:val="|"/>
                  <m:endChr m:val="|"/>
                  <m:ctrlPr>
                    <w:rPr>
                      <w:rFonts w:ascii="Cambria Math" w:hAnsi="Cambria Math"/>
                      <w:i/>
                      <w:sz w:val="24"/>
                      <w:lang w:val="zh-CN"/>
                    </w:rPr>
                  </m:ctrlPr>
                </m:dPr>
                <m:e>
                  <m:r>
                    <m:rPr/>
                    <w:rPr>
                      <w:rFonts w:ascii="Cambria Math" w:hAnsi="Cambria Math"/>
                      <w:sz w:val="24"/>
                    </w:rPr>
                    <m:t>t</m:t>
                  </m:r>
                  <m:ctrlPr>
                    <w:rPr>
                      <w:rFonts w:ascii="Cambria Math" w:hAnsi="Cambria Math"/>
                      <w:i/>
                      <w:sz w:val="24"/>
                      <w:lang w:val="zh-CN"/>
                    </w:rPr>
                  </m:ctrlPr>
                </m:e>
              </m:d>
            </m:oMath>
            <w:r>
              <w:rPr>
                <w:rFonts w:hint="eastAsia" w:hAnsi="Cambria Math"/>
                <w:sz w:val="24"/>
              </w:rPr>
              <w:t>为温度的绝对值，单位℃</w:t>
            </w:r>
            <w:r>
              <w:rPr>
                <w:rFonts w:hint="eastAsia"/>
                <w:sz w:val="24"/>
                <w:lang w:val="zh-CN"/>
              </w:rPr>
              <w:t>）</w:t>
            </w:r>
          </w:p>
        </w:tc>
      </w:tr>
      <w:tr w14:paraId="11FF4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456FC6B">
            <w:pPr>
              <w:spacing w:line="360" w:lineRule="auto"/>
              <w:jc w:val="center"/>
              <w:rPr>
                <w:rFonts w:eastAsiaTheme="minorEastAsia"/>
                <w:bCs/>
                <w:sz w:val="24"/>
              </w:rPr>
            </w:pPr>
            <w:r>
              <w:rPr>
                <w:rFonts w:hint="eastAsia" w:eastAsiaTheme="minorEastAsia"/>
                <w:bCs/>
                <w:sz w:val="24"/>
              </w:rPr>
              <w:t>3</w:t>
            </w:r>
          </w:p>
        </w:tc>
        <w:tc>
          <w:tcPr>
            <w:tcW w:w="3471" w:type="dxa"/>
            <w:vAlign w:val="center"/>
          </w:tcPr>
          <w:p w14:paraId="780B030E">
            <w:pPr>
              <w:spacing w:line="360" w:lineRule="auto"/>
              <w:jc w:val="center"/>
              <w:rPr>
                <w:rFonts w:eastAsiaTheme="minorEastAsia"/>
                <w:bCs/>
                <w:sz w:val="24"/>
              </w:rPr>
            </w:pPr>
            <w:r>
              <w:rPr>
                <w:rFonts w:eastAsiaTheme="minorEastAsia"/>
                <w:bCs/>
                <w:sz w:val="24"/>
              </w:rPr>
              <w:t>数字电压表</w:t>
            </w:r>
            <w:r>
              <w:rPr>
                <w:rFonts w:hint="eastAsia" w:eastAsiaTheme="minorEastAsia"/>
                <w:bCs/>
                <w:sz w:val="24"/>
              </w:rPr>
              <w:t>（可选）</w:t>
            </w:r>
          </w:p>
        </w:tc>
        <w:tc>
          <w:tcPr>
            <w:tcW w:w="4325" w:type="dxa"/>
            <w:vAlign w:val="center"/>
          </w:tcPr>
          <w:p w14:paraId="715C80B1">
            <w:pPr>
              <w:spacing w:line="360" w:lineRule="auto"/>
              <w:ind w:firstLine="480" w:firstLineChars="200"/>
              <w:jc w:val="center"/>
              <w:rPr>
                <w:rFonts w:eastAsiaTheme="minorEastAsia"/>
                <w:bCs/>
                <w:sz w:val="24"/>
              </w:rPr>
            </w:pPr>
            <w:r>
              <w:rPr>
                <w:rFonts w:eastAsiaTheme="minorEastAsia"/>
                <w:bCs/>
                <w:sz w:val="24"/>
              </w:rPr>
              <w:t>测量范围：0.01 V～50 V；</w:t>
            </w:r>
          </w:p>
          <w:p w14:paraId="40E55F1A">
            <w:pPr>
              <w:spacing w:line="360" w:lineRule="auto"/>
              <w:jc w:val="center"/>
              <w:rPr>
                <w:rFonts w:eastAsiaTheme="minorEastAsia"/>
                <w:bCs/>
                <w:sz w:val="24"/>
              </w:rPr>
            </w:pPr>
            <w:r>
              <w:rPr>
                <w:rFonts w:hint="eastAsia" w:eastAsiaTheme="minorEastAsia"/>
                <w:bCs/>
                <w:sz w:val="24"/>
              </w:rPr>
              <w:t>MPE</w:t>
            </w:r>
            <w:r>
              <w:rPr>
                <w:rFonts w:eastAsiaTheme="minorEastAsia"/>
                <w:bCs/>
                <w:sz w:val="24"/>
              </w:rPr>
              <w:t>：± 0.5%</w:t>
            </w:r>
          </w:p>
        </w:tc>
      </w:tr>
      <w:tr w14:paraId="0B5C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B1D591B">
            <w:pPr>
              <w:spacing w:line="360" w:lineRule="auto"/>
              <w:jc w:val="center"/>
              <w:rPr>
                <w:rFonts w:eastAsiaTheme="minorEastAsia"/>
                <w:bCs/>
                <w:sz w:val="24"/>
              </w:rPr>
            </w:pPr>
            <w:r>
              <w:rPr>
                <w:rFonts w:hint="eastAsia" w:eastAsiaTheme="minorEastAsia"/>
                <w:bCs/>
                <w:sz w:val="24"/>
              </w:rPr>
              <w:t>4</w:t>
            </w:r>
          </w:p>
        </w:tc>
        <w:tc>
          <w:tcPr>
            <w:tcW w:w="3471" w:type="dxa"/>
            <w:vAlign w:val="center"/>
          </w:tcPr>
          <w:p w14:paraId="406C7A93">
            <w:pPr>
              <w:spacing w:line="360" w:lineRule="auto"/>
              <w:jc w:val="center"/>
              <w:rPr>
                <w:rFonts w:eastAsiaTheme="minorEastAsia"/>
                <w:bCs/>
                <w:sz w:val="24"/>
              </w:rPr>
            </w:pPr>
            <w:r>
              <w:rPr>
                <w:rFonts w:eastAsiaTheme="minorEastAsia"/>
                <w:bCs/>
                <w:sz w:val="24"/>
              </w:rPr>
              <w:t>直流电流表</w:t>
            </w:r>
            <w:r>
              <w:rPr>
                <w:rFonts w:hint="eastAsia" w:eastAsiaTheme="minorEastAsia"/>
                <w:bCs/>
                <w:sz w:val="24"/>
              </w:rPr>
              <w:t>（可选）</w:t>
            </w:r>
          </w:p>
        </w:tc>
        <w:tc>
          <w:tcPr>
            <w:tcW w:w="4325" w:type="dxa"/>
            <w:vAlign w:val="center"/>
          </w:tcPr>
          <w:p w14:paraId="50251B08">
            <w:pPr>
              <w:spacing w:line="360" w:lineRule="auto"/>
              <w:ind w:firstLine="480" w:firstLineChars="200"/>
              <w:jc w:val="center"/>
              <w:rPr>
                <w:rFonts w:eastAsiaTheme="minorEastAsia"/>
                <w:bCs/>
                <w:sz w:val="24"/>
              </w:rPr>
            </w:pPr>
            <w:r>
              <w:rPr>
                <w:rFonts w:eastAsiaTheme="minorEastAsia"/>
                <w:bCs/>
                <w:sz w:val="24"/>
              </w:rPr>
              <w:t>测量范围：0.1 A～4 A；</w:t>
            </w:r>
          </w:p>
          <w:p w14:paraId="55171647">
            <w:pPr>
              <w:spacing w:line="360" w:lineRule="auto"/>
              <w:jc w:val="center"/>
              <w:rPr>
                <w:rFonts w:eastAsiaTheme="minorEastAsia"/>
                <w:bCs/>
                <w:sz w:val="24"/>
              </w:rPr>
            </w:pPr>
            <w:r>
              <w:rPr>
                <w:rFonts w:hint="eastAsia" w:eastAsiaTheme="minorEastAsia"/>
                <w:bCs/>
                <w:sz w:val="24"/>
              </w:rPr>
              <w:t>MPE</w:t>
            </w:r>
            <w:r>
              <w:rPr>
                <w:rFonts w:eastAsiaTheme="minorEastAsia"/>
                <w:bCs/>
                <w:sz w:val="24"/>
              </w:rPr>
              <w:t>：± 0.5 %</w:t>
            </w:r>
          </w:p>
        </w:tc>
      </w:tr>
      <w:tr w14:paraId="2B26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9BE2269">
            <w:pPr>
              <w:spacing w:line="360" w:lineRule="auto"/>
              <w:jc w:val="center"/>
              <w:rPr>
                <w:rFonts w:eastAsiaTheme="minorEastAsia"/>
                <w:bCs/>
                <w:sz w:val="24"/>
              </w:rPr>
            </w:pPr>
            <w:r>
              <w:rPr>
                <w:rFonts w:hint="eastAsia" w:eastAsiaTheme="minorEastAsia"/>
                <w:bCs/>
                <w:sz w:val="24"/>
              </w:rPr>
              <w:t>序号</w:t>
            </w:r>
          </w:p>
        </w:tc>
        <w:tc>
          <w:tcPr>
            <w:tcW w:w="3471" w:type="dxa"/>
            <w:vAlign w:val="center"/>
          </w:tcPr>
          <w:p w14:paraId="21AF5307">
            <w:pPr>
              <w:spacing w:line="360" w:lineRule="auto"/>
              <w:jc w:val="center"/>
              <w:rPr>
                <w:rFonts w:eastAsiaTheme="minorEastAsia"/>
                <w:bCs/>
                <w:sz w:val="24"/>
              </w:rPr>
            </w:pPr>
            <w:r>
              <w:rPr>
                <w:rFonts w:hint="eastAsia" w:eastAsiaTheme="minorEastAsia"/>
                <w:bCs/>
                <w:sz w:val="24"/>
              </w:rPr>
              <w:t>配套设备</w:t>
            </w:r>
          </w:p>
        </w:tc>
        <w:tc>
          <w:tcPr>
            <w:tcW w:w="4325" w:type="dxa"/>
            <w:vAlign w:val="center"/>
          </w:tcPr>
          <w:p w14:paraId="45A06E9B">
            <w:pPr>
              <w:spacing w:line="360" w:lineRule="auto"/>
              <w:jc w:val="center"/>
              <w:rPr>
                <w:rFonts w:eastAsiaTheme="minorEastAsia"/>
                <w:bCs/>
                <w:sz w:val="24"/>
              </w:rPr>
            </w:pPr>
            <w:r>
              <w:rPr>
                <w:rFonts w:hint="eastAsia" w:eastAsiaTheme="minorEastAsia"/>
                <w:bCs/>
                <w:sz w:val="24"/>
              </w:rPr>
              <w:t>技术要求</w:t>
            </w:r>
          </w:p>
        </w:tc>
      </w:tr>
      <w:tr w14:paraId="5AEA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5CAE622">
            <w:pPr>
              <w:spacing w:line="360" w:lineRule="auto"/>
              <w:jc w:val="center"/>
              <w:rPr>
                <w:rFonts w:eastAsiaTheme="minorEastAsia"/>
                <w:bCs/>
                <w:sz w:val="24"/>
              </w:rPr>
            </w:pPr>
            <w:r>
              <w:rPr>
                <w:rFonts w:hint="eastAsia" w:eastAsiaTheme="minorEastAsia"/>
                <w:bCs/>
                <w:sz w:val="24"/>
              </w:rPr>
              <w:t>1</w:t>
            </w:r>
          </w:p>
        </w:tc>
        <w:tc>
          <w:tcPr>
            <w:tcW w:w="3471" w:type="dxa"/>
            <w:vAlign w:val="center"/>
          </w:tcPr>
          <w:p w14:paraId="148E923C">
            <w:pPr>
              <w:spacing w:line="360" w:lineRule="auto"/>
              <w:jc w:val="center"/>
              <w:rPr>
                <w:rFonts w:eastAsiaTheme="minorEastAsia"/>
                <w:bCs/>
                <w:sz w:val="24"/>
              </w:rPr>
            </w:pPr>
            <w:r>
              <w:rPr>
                <w:rFonts w:eastAsiaTheme="minorEastAsia"/>
                <w:bCs/>
                <w:sz w:val="24"/>
              </w:rPr>
              <w:t>电子秒表</w:t>
            </w:r>
          </w:p>
        </w:tc>
        <w:tc>
          <w:tcPr>
            <w:tcW w:w="4325" w:type="dxa"/>
            <w:vAlign w:val="center"/>
          </w:tcPr>
          <w:p w14:paraId="338DC11D">
            <w:pPr>
              <w:spacing w:line="360" w:lineRule="auto"/>
              <w:ind w:firstLine="480" w:firstLineChars="200"/>
              <w:jc w:val="center"/>
              <w:rPr>
                <w:rFonts w:eastAsiaTheme="minorEastAsia"/>
                <w:bCs/>
                <w:sz w:val="24"/>
              </w:rPr>
            </w:pPr>
            <w:r>
              <w:rPr>
                <w:rFonts w:eastAsiaTheme="minorEastAsia"/>
                <w:bCs/>
                <w:sz w:val="24"/>
              </w:rPr>
              <w:t>测量范围：（0～3600）s；</w:t>
            </w:r>
          </w:p>
          <w:p w14:paraId="484CF81D">
            <w:pPr>
              <w:spacing w:line="360" w:lineRule="auto"/>
              <w:jc w:val="center"/>
              <w:rPr>
                <w:rFonts w:eastAsiaTheme="minorEastAsia"/>
                <w:bCs/>
                <w:sz w:val="24"/>
              </w:rPr>
            </w:pPr>
            <w:r>
              <w:rPr>
                <w:rFonts w:eastAsiaTheme="minorEastAsia"/>
                <w:bCs/>
                <w:sz w:val="24"/>
              </w:rPr>
              <w:t>分辨力</w:t>
            </w:r>
            <w:r>
              <w:rPr>
                <w:rFonts w:hint="eastAsia" w:eastAsiaTheme="minorEastAsia"/>
                <w:bCs/>
                <w:sz w:val="24"/>
              </w:rPr>
              <w:t>优</w:t>
            </w:r>
            <w:r>
              <w:rPr>
                <w:rFonts w:eastAsiaTheme="minorEastAsia"/>
                <w:bCs/>
                <w:sz w:val="24"/>
              </w:rPr>
              <w:t>于0.01s；MPE：±0.5 s/d</w:t>
            </w:r>
          </w:p>
        </w:tc>
      </w:tr>
      <w:tr w14:paraId="78D5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59" w:type="dxa"/>
            <w:vAlign w:val="center"/>
          </w:tcPr>
          <w:p w14:paraId="42F4F311">
            <w:pPr>
              <w:spacing w:line="360" w:lineRule="auto"/>
              <w:jc w:val="center"/>
              <w:rPr>
                <w:rFonts w:eastAsiaTheme="minorEastAsia"/>
                <w:bCs/>
                <w:sz w:val="24"/>
              </w:rPr>
            </w:pPr>
            <w:r>
              <w:rPr>
                <w:rFonts w:hint="eastAsia" w:eastAsiaTheme="minorEastAsia"/>
                <w:bCs/>
                <w:sz w:val="24"/>
              </w:rPr>
              <w:t>2</w:t>
            </w:r>
          </w:p>
        </w:tc>
        <w:tc>
          <w:tcPr>
            <w:tcW w:w="3471" w:type="dxa"/>
            <w:vAlign w:val="center"/>
          </w:tcPr>
          <w:p w14:paraId="343D039D">
            <w:pPr>
              <w:spacing w:line="360" w:lineRule="auto"/>
              <w:jc w:val="center"/>
              <w:rPr>
                <w:rFonts w:eastAsiaTheme="minorEastAsia"/>
                <w:bCs/>
                <w:sz w:val="24"/>
              </w:rPr>
            </w:pPr>
            <w:r>
              <w:rPr>
                <w:rFonts w:hint="eastAsia" w:eastAsiaTheme="minorEastAsia"/>
                <w:bCs/>
                <w:sz w:val="24"/>
              </w:rPr>
              <w:t>电子天平</w:t>
            </w:r>
          </w:p>
        </w:tc>
        <w:tc>
          <w:tcPr>
            <w:tcW w:w="4325" w:type="dxa"/>
            <w:vAlign w:val="center"/>
          </w:tcPr>
          <w:p w14:paraId="16A2F8E1">
            <w:pPr>
              <w:spacing w:line="360" w:lineRule="auto"/>
              <w:jc w:val="center"/>
              <w:rPr>
                <w:rFonts w:eastAsiaTheme="minorEastAsia"/>
                <w:bCs/>
                <w:sz w:val="24"/>
              </w:rPr>
            </w:pPr>
            <w:r>
              <w:rPr>
                <w:rFonts w:hint="eastAsia" w:eastAsiaTheme="minorEastAsia"/>
                <w:bCs/>
                <w:sz w:val="24"/>
              </w:rPr>
              <w:t>测量范围：（0.5~2000）g；</w:t>
            </w:r>
          </w:p>
          <w:p w14:paraId="3CB67E76">
            <w:pPr>
              <w:spacing w:line="360" w:lineRule="auto"/>
              <w:jc w:val="center"/>
              <w:rPr>
                <w:rFonts w:eastAsiaTheme="minorEastAsia"/>
                <w:bCs/>
                <w:sz w:val="24"/>
              </w:rPr>
            </w:pPr>
            <w:r>
              <w:rPr>
                <w:rFonts w:hint="eastAsia" w:eastAsiaTheme="minorEastAsia"/>
                <w:bCs/>
                <w:sz w:val="24"/>
              </w:rPr>
              <w:t>准确度等级：</w:t>
            </w:r>
            <w:r>
              <w:rPr>
                <w:rFonts w:eastAsiaTheme="minorEastAsia"/>
                <w:bCs/>
                <w:sz w:val="24"/>
              </w:rPr>
              <w:fldChar w:fldCharType="begin"/>
            </w:r>
            <w:r>
              <w:rPr>
                <w:rFonts w:eastAsiaTheme="minorEastAsia"/>
                <w:bCs/>
                <w:sz w:val="24"/>
              </w:rPr>
              <w:instrText xml:space="preserve"> </w:instrText>
            </w:r>
            <w:r>
              <w:rPr>
                <w:rFonts w:hint="eastAsia" w:eastAsiaTheme="minorEastAsia"/>
                <w:bCs/>
                <w:sz w:val="24"/>
              </w:rPr>
              <w:instrText xml:space="preserve">eq \o\ac(</w:instrText>
            </w:r>
            <w:r>
              <w:rPr>
                <w:rFonts w:hint="eastAsia" w:ascii="宋体" w:eastAsiaTheme="minorEastAsia"/>
                <w:bCs/>
                <w:position w:val="-4"/>
                <w:sz w:val="36"/>
              </w:rPr>
              <w:instrText xml:space="preserve">○</w:instrText>
            </w:r>
            <w:r>
              <w:rPr>
                <w:rFonts w:hint="eastAsia" w:eastAsiaTheme="minorEastAsia"/>
                <w:bCs/>
                <w:sz w:val="24"/>
              </w:rPr>
              <w:instrText xml:space="preserve">,II)</w:instrText>
            </w:r>
            <w:r>
              <w:rPr>
                <w:rFonts w:eastAsiaTheme="minorEastAsia"/>
                <w:bCs/>
                <w:sz w:val="24"/>
              </w:rPr>
              <w:fldChar w:fldCharType="end"/>
            </w:r>
            <w:r>
              <w:rPr>
                <w:rFonts w:hint="eastAsia" w:eastAsiaTheme="minorEastAsia"/>
                <w:bCs/>
                <w:sz w:val="24"/>
              </w:rPr>
              <w:t>级</w:t>
            </w:r>
          </w:p>
        </w:tc>
      </w:tr>
      <w:tr w14:paraId="07227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305016D">
            <w:pPr>
              <w:spacing w:line="360" w:lineRule="auto"/>
              <w:jc w:val="center"/>
              <w:rPr>
                <w:rFonts w:eastAsiaTheme="minorEastAsia"/>
                <w:bCs/>
                <w:sz w:val="24"/>
              </w:rPr>
            </w:pPr>
            <w:r>
              <w:rPr>
                <w:rFonts w:hint="eastAsia" w:eastAsiaTheme="minorEastAsia"/>
                <w:bCs/>
                <w:sz w:val="24"/>
              </w:rPr>
              <w:t>3</w:t>
            </w:r>
          </w:p>
        </w:tc>
        <w:tc>
          <w:tcPr>
            <w:tcW w:w="3471" w:type="dxa"/>
            <w:vAlign w:val="center"/>
          </w:tcPr>
          <w:p w14:paraId="7C157039">
            <w:pPr>
              <w:spacing w:line="360" w:lineRule="auto"/>
              <w:jc w:val="center"/>
              <w:rPr>
                <w:rFonts w:eastAsiaTheme="minorEastAsia"/>
                <w:bCs/>
                <w:sz w:val="24"/>
              </w:rPr>
            </w:pPr>
            <w:r>
              <w:rPr>
                <w:rFonts w:eastAsiaTheme="minorEastAsia"/>
                <w:bCs/>
                <w:sz w:val="24"/>
              </w:rPr>
              <w:t>标准样块</w:t>
            </w:r>
          </w:p>
        </w:tc>
        <w:tc>
          <w:tcPr>
            <w:tcW w:w="4325" w:type="dxa"/>
            <w:vAlign w:val="center"/>
          </w:tcPr>
          <w:p w14:paraId="3E231AA6">
            <w:pPr>
              <w:spacing w:line="360" w:lineRule="auto"/>
              <w:jc w:val="center"/>
              <w:rPr>
                <w:sz w:val="24"/>
              </w:rPr>
            </w:pPr>
            <w:r>
              <w:rPr>
                <w:rFonts w:hint="eastAsia" w:eastAsiaTheme="minorEastAsia"/>
                <w:bCs/>
                <w:sz w:val="24"/>
              </w:rPr>
              <w:t>推荐选用</w:t>
            </w:r>
            <w:r>
              <w:rPr>
                <w:rFonts w:hint="eastAsia"/>
                <w:sz w:val="24"/>
              </w:rPr>
              <w:t>6061铝合金电阻块</w:t>
            </w:r>
          </w:p>
          <w:p w14:paraId="0272BE4C">
            <w:pPr>
              <w:spacing w:line="360" w:lineRule="auto"/>
              <w:jc w:val="center"/>
              <w:rPr>
                <w:rFonts w:eastAsiaTheme="minorEastAsia"/>
                <w:bCs/>
                <w:sz w:val="24"/>
              </w:rPr>
            </w:pPr>
            <w:r>
              <w:rPr>
                <w:rFonts w:hint="eastAsia" w:eastAsiaTheme="minorEastAsia"/>
                <w:bCs/>
                <w:sz w:val="24"/>
              </w:rPr>
              <w:t>阻值：（2~20）Ω；</w:t>
            </w:r>
          </w:p>
          <w:p w14:paraId="7AD37583">
            <w:pPr>
              <w:spacing w:line="360" w:lineRule="auto"/>
              <w:jc w:val="center"/>
              <w:rPr>
                <w:rFonts w:eastAsiaTheme="minorEastAsia"/>
                <w:bCs/>
                <w:sz w:val="24"/>
              </w:rPr>
            </w:pPr>
            <w:r>
              <w:rPr>
                <w:rFonts w:hint="eastAsia"/>
                <w:sz w:val="24"/>
              </w:rPr>
              <w:t>比热容880J/(kg·K)@</w:t>
            </w:r>
            <w:r>
              <w:rPr>
                <w:sz w:val="24"/>
              </w:rPr>
              <w:t>25</w:t>
            </w:r>
            <w:r>
              <w:rPr>
                <w:rFonts w:hint="eastAsia"/>
                <w:sz w:val="24"/>
              </w:rPr>
              <w:t>℃</w:t>
            </w:r>
          </w:p>
        </w:tc>
      </w:tr>
    </w:tbl>
    <w:p w14:paraId="22B0BF09">
      <w:pPr>
        <w:spacing w:line="360" w:lineRule="auto"/>
        <w:rPr>
          <w:rFonts w:eastAsiaTheme="minorEastAsia"/>
          <w:bCs/>
          <w:sz w:val="24"/>
        </w:rPr>
      </w:pPr>
    </w:p>
    <w:p w14:paraId="7D2FC1C7">
      <w:pPr>
        <w:pStyle w:val="2"/>
        <w:numPr>
          <w:ilvl w:val="0"/>
          <w:numId w:val="1"/>
        </w:numPr>
        <w:spacing w:beforeLines="50" w:after="0" w:line="360" w:lineRule="auto"/>
        <w:ind w:left="357" w:hanging="357"/>
        <w:rPr>
          <w:rFonts w:eastAsia="黑体"/>
          <w:b w:val="0"/>
          <w:sz w:val="24"/>
          <w:szCs w:val="24"/>
        </w:rPr>
      </w:pPr>
      <w:bookmarkStart w:id="53" w:name="_Toc25919"/>
      <w:bookmarkStart w:id="54" w:name="_Toc6252"/>
      <w:bookmarkStart w:id="55" w:name="_Toc17936"/>
      <w:bookmarkStart w:id="56" w:name="_Toc184839115"/>
      <w:r>
        <w:rPr>
          <w:rFonts w:eastAsia="黑体"/>
          <w:b w:val="0"/>
          <w:sz w:val="24"/>
          <w:szCs w:val="24"/>
        </w:rPr>
        <w:t>校准项目和校准方法</w:t>
      </w:r>
      <w:bookmarkEnd w:id="53"/>
      <w:bookmarkEnd w:id="54"/>
      <w:bookmarkEnd w:id="55"/>
      <w:bookmarkEnd w:id="56"/>
    </w:p>
    <w:p w14:paraId="4A0F90A5">
      <w:pPr>
        <w:pStyle w:val="3"/>
        <w:spacing w:before="0" w:after="0" w:line="360" w:lineRule="auto"/>
        <w:rPr>
          <w:rFonts w:ascii="Times New Roman" w:hAnsi="Times New Roman" w:eastAsia="宋体"/>
          <w:b w:val="0"/>
          <w:bCs w:val="0"/>
          <w:sz w:val="24"/>
          <w:szCs w:val="24"/>
        </w:rPr>
      </w:pPr>
      <w:bookmarkStart w:id="57" w:name="_Toc184839116"/>
      <w:r>
        <w:rPr>
          <w:rFonts w:hint="eastAsia" w:ascii="Times New Roman" w:hAnsi="Times New Roman" w:eastAsia="宋体"/>
          <w:b w:val="0"/>
          <w:bCs w:val="0"/>
          <w:sz w:val="24"/>
          <w:szCs w:val="24"/>
        </w:rPr>
        <w:t>7.1校准项目</w:t>
      </w:r>
      <w:bookmarkEnd w:id="57"/>
    </w:p>
    <w:p w14:paraId="405A1210">
      <w:pPr>
        <w:spacing w:line="360" w:lineRule="auto"/>
        <w:ind w:left="425"/>
        <w:jc w:val="left"/>
        <w:rPr>
          <w:sz w:val="24"/>
        </w:rPr>
      </w:pPr>
      <w:r>
        <w:rPr>
          <w:rFonts w:hint="eastAsia"/>
          <w:sz w:val="24"/>
        </w:rPr>
        <w:t>锂离子电池电芯热参数测试仪</w:t>
      </w:r>
      <w:r>
        <w:rPr>
          <w:sz w:val="24"/>
        </w:rPr>
        <w:t>校准项目见表</w:t>
      </w:r>
      <w:r>
        <w:rPr>
          <w:rFonts w:hint="eastAsia"/>
          <w:sz w:val="24"/>
        </w:rPr>
        <w:t>2</w:t>
      </w:r>
      <w:r>
        <w:rPr>
          <w:sz w:val="24"/>
        </w:rPr>
        <w:t>。</w:t>
      </w:r>
    </w:p>
    <w:p w14:paraId="2B71F04B">
      <w:pPr>
        <w:snapToGrid w:val="0"/>
        <w:spacing w:line="360" w:lineRule="auto"/>
        <w:ind w:left="425"/>
        <w:jc w:val="center"/>
        <w:rPr>
          <w:rFonts w:ascii="黑体" w:hAnsi="黑体" w:eastAsia="黑体"/>
          <w:sz w:val="24"/>
          <w:szCs w:val="21"/>
        </w:rPr>
      </w:pPr>
      <w:r>
        <w:rPr>
          <w:rFonts w:ascii="黑体" w:hAnsi="黑体" w:eastAsia="黑体"/>
          <w:sz w:val="24"/>
          <w:szCs w:val="21"/>
        </w:rPr>
        <w:t>表</w:t>
      </w:r>
      <w:r>
        <w:rPr>
          <w:rFonts w:hint="eastAsia" w:ascii="黑体" w:hAnsi="黑体" w:eastAsia="黑体"/>
          <w:sz w:val="24"/>
          <w:szCs w:val="21"/>
        </w:rPr>
        <w:t>2</w:t>
      </w:r>
      <w:r>
        <w:rPr>
          <w:rFonts w:ascii="黑体" w:hAnsi="黑体" w:eastAsia="黑体"/>
          <w:sz w:val="24"/>
          <w:szCs w:val="21"/>
        </w:rPr>
        <w:t xml:space="preserve">  </w:t>
      </w:r>
      <w:r>
        <w:rPr>
          <w:rFonts w:hint="eastAsia" w:ascii="黑体" w:hAnsi="黑体" w:eastAsia="黑体"/>
          <w:sz w:val="24"/>
          <w:szCs w:val="21"/>
        </w:rPr>
        <w:t>锂离子电池电芯热参数测试仪</w:t>
      </w:r>
      <w:r>
        <w:rPr>
          <w:rFonts w:ascii="黑体" w:hAnsi="黑体" w:eastAsia="黑体"/>
          <w:sz w:val="24"/>
          <w:szCs w:val="21"/>
        </w:rPr>
        <w:t>项目一览表</w:t>
      </w:r>
    </w:p>
    <w:tbl>
      <w:tblPr>
        <w:tblStyle w:val="20"/>
        <w:tblW w:w="494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84"/>
        <w:gridCol w:w="3219"/>
        <w:gridCol w:w="2167"/>
        <w:gridCol w:w="2086"/>
      </w:tblGrid>
      <w:tr w14:paraId="050932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 w:hRule="atLeast"/>
          <w:tblHeader/>
        </w:trPr>
        <w:tc>
          <w:tcPr>
            <w:tcW w:w="733" w:type="pct"/>
            <w:tcBorders>
              <w:top w:val="single" w:color="auto" w:sz="4" w:space="0"/>
              <w:left w:val="single" w:color="auto" w:sz="4" w:space="0"/>
              <w:bottom w:val="single" w:color="auto" w:sz="4" w:space="0"/>
              <w:right w:val="single" w:color="auto" w:sz="4" w:space="0"/>
            </w:tcBorders>
            <w:vAlign w:val="center"/>
          </w:tcPr>
          <w:p w14:paraId="35505B1F">
            <w:pPr>
              <w:snapToGrid w:val="0"/>
              <w:jc w:val="center"/>
              <w:rPr>
                <w:sz w:val="24"/>
                <w:szCs w:val="21"/>
              </w:rPr>
            </w:pPr>
            <w:r>
              <w:rPr>
                <w:rFonts w:hAnsi="宋体"/>
                <w:sz w:val="24"/>
                <w:szCs w:val="21"/>
              </w:rPr>
              <w:t>序号</w:t>
            </w:r>
          </w:p>
        </w:tc>
        <w:tc>
          <w:tcPr>
            <w:tcW w:w="1838" w:type="pct"/>
            <w:tcBorders>
              <w:top w:val="single" w:color="auto" w:sz="4" w:space="0"/>
              <w:left w:val="single" w:color="auto" w:sz="4" w:space="0"/>
              <w:bottom w:val="single" w:color="auto" w:sz="4" w:space="0"/>
              <w:right w:val="single" w:color="auto" w:sz="4" w:space="0"/>
            </w:tcBorders>
            <w:vAlign w:val="center"/>
          </w:tcPr>
          <w:p w14:paraId="056BED97">
            <w:pPr>
              <w:snapToGrid w:val="0"/>
              <w:jc w:val="center"/>
              <w:rPr>
                <w:sz w:val="24"/>
                <w:szCs w:val="21"/>
              </w:rPr>
            </w:pPr>
            <w:r>
              <w:rPr>
                <w:rFonts w:hAnsi="宋体"/>
                <w:sz w:val="24"/>
                <w:szCs w:val="21"/>
              </w:rPr>
              <w:t>项目名称</w:t>
            </w:r>
          </w:p>
        </w:tc>
        <w:tc>
          <w:tcPr>
            <w:tcW w:w="1237" w:type="pct"/>
            <w:tcBorders>
              <w:top w:val="single" w:color="auto" w:sz="4" w:space="0"/>
              <w:left w:val="single" w:color="auto" w:sz="4" w:space="0"/>
              <w:bottom w:val="single" w:color="auto" w:sz="4" w:space="0"/>
              <w:right w:val="single" w:color="auto" w:sz="4" w:space="0"/>
            </w:tcBorders>
            <w:vAlign w:val="center"/>
          </w:tcPr>
          <w:p w14:paraId="49A0A158">
            <w:pPr>
              <w:snapToGrid w:val="0"/>
              <w:jc w:val="center"/>
              <w:rPr>
                <w:sz w:val="24"/>
                <w:szCs w:val="21"/>
              </w:rPr>
            </w:pPr>
            <w:r>
              <w:rPr>
                <w:rFonts w:hAnsi="宋体"/>
                <w:sz w:val="24"/>
                <w:szCs w:val="21"/>
              </w:rPr>
              <w:t>计量特性的条款</w:t>
            </w:r>
          </w:p>
        </w:tc>
        <w:tc>
          <w:tcPr>
            <w:tcW w:w="1191" w:type="pct"/>
            <w:tcBorders>
              <w:top w:val="single" w:color="auto" w:sz="4" w:space="0"/>
              <w:left w:val="single" w:color="auto" w:sz="4" w:space="0"/>
              <w:bottom w:val="single" w:color="auto" w:sz="4" w:space="0"/>
              <w:right w:val="single" w:color="auto" w:sz="4" w:space="0"/>
            </w:tcBorders>
            <w:vAlign w:val="center"/>
          </w:tcPr>
          <w:p w14:paraId="526EF660">
            <w:pPr>
              <w:snapToGrid w:val="0"/>
              <w:jc w:val="center"/>
              <w:rPr>
                <w:sz w:val="24"/>
                <w:szCs w:val="21"/>
              </w:rPr>
            </w:pPr>
            <w:r>
              <w:rPr>
                <w:rFonts w:hAnsi="宋体"/>
                <w:sz w:val="24"/>
                <w:szCs w:val="21"/>
              </w:rPr>
              <w:t>校准方法的条款</w:t>
            </w:r>
          </w:p>
        </w:tc>
      </w:tr>
      <w:tr w14:paraId="27B085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 w:hRule="atLeast"/>
        </w:trPr>
        <w:tc>
          <w:tcPr>
            <w:tcW w:w="733" w:type="pct"/>
            <w:tcBorders>
              <w:top w:val="single" w:color="auto" w:sz="4" w:space="0"/>
              <w:left w:val="single" w:color="auto" w:sz="4" w:space="0"/>
              <w:bottom w:val="single" w:color="auto" w:sz="4" w:space="0"/>
              <w:right w:val="single" w:color="auto" w:sz="4" w:space="0"/>
            </w:tcBorders>
            <w:vAlign w:val="center"/>
          </w:tcPr>
          <w:p w14:paraId="572D21B4">
            <w:pPr>
              <w:snapToGrid w:val="0"/>
              <w:jc w:val="center"/>
              <w:rPr>
                <w:sz w:val="24"/>
                <w:szCs w:val="21"/>
              </w:rPr>
            </w:pPr>
            <w:r>
              <w:rPr>
                <w:sz w:val="24"/>
                <w:szCs w:val="21"/>
              </w:rPr>
              <w:t>1</w:t>
            </w:r>
          </w:p>
        </w:tc>
        <w:tc>
          <w:tcPr>
            <w:tcW w:w="1838" w:type="pct"/>
            <w:tcBorders>
              <w:top w:val="single" w:color="auto" w:sz="4" w:space="0"/>
              <w:left w:val="single" w:color="auto" w:sz="4" w:space="0"/>
              <w:bottom w:val="single" w:color="auto" w:sz="4" w:space="0"/>
              <w:right w:val="single" w:color="auto" w:sz="4" w:space="0"/>
            </w:tcBorders>
            <w:vAlign w:val="center"/>
          </w:tcPr>
          <w:p w14:paraId="5704F6E4">
            <w:pPr>
              <w:snapToGrid w:val="0"/>
              <w:jc w:val="center"/>
              <w:rPr>
                <w:sz w:val="24"/>
                <w:szCs w:val="21"/>
              </w:rPr>
            </w:pPr>
            <w:r>
              <w:rPr>
                <w:rFonts w:hint="eastAsia" w:hAnsi="宋体"/>
                <w:sz w:val="24"/>
                <w:szCs w:val="21"/>
              </w:rPr>
              <w:t>自放热检测灵敏度</w:t>
            </w:r>
          </w:p>
        </w:tc>
        <w:tc>
          <w:tcPr>
            <w:tcW w:w="1237" w:type="pct"/>
            <w:tcBorders>
              <w:top w:val="single" w:color="auto" w:sz="4" w:space="0"/>
              <w:left w:val="single" w:color="auto" w:sz="4" w:space="0"/>
              <w:bottom w:val="single" w:color="auto" w:sz="4" w:space="0"/>
              <w:right w:val="single" w:color="auto" w:sz="4" w:space="0"/>
            </w:tcBorders>
            <w:vAlign w:val="center"/>
          </w:tcPr>
          <w:p w14:paraId="3FEEF6AC">
            <w:pPr>
              <w:snapToGrid w:val="0"/>
              <w:jc w:val="center"/>
              <w:rPr>
                <w:sz w:val="24"/>
                <w:szCs w:val="21"/>
              </w:rPr>
            </w:pPr>
            <w:r>
              <w:rPr>
                <w:sz w:val="24"/>
                <w:szCs w:val="21"/>
              </w:rPr>
              <w:t>5.1</w:t>
            </w:r>
          </w:p>
        </w:tc>
        <w:tc>
          <w:tcPr>
            <w:tcW w:w="1191" w:type="pct"/>
            <w:tcBorders>
              <w:top w:val="single" w:color="auto" w:sz="4" w:space="0"/>
              <w:left w:val="single" w:color="auto" w:sz="4" w:space="0"/>
              <w:bottom w:val="single" w:color="auto" w:sz="4" w:space="0"/>
              <w:right w:val="single" w:color="auto" w:sz="4" w:space="0"/>
            </w:tcBorders>
            <w:vAlign w:val="center"/>
          </w:tcPr>
          <w:p w14:paraId="3CC55DE0">
            <w:pPr>
              <w:snapToGrid w:val="0"/>
              <w:jc w:val="center"/>
              <w:rPr>
                <w:sz w:val="24"/>
                <w:szCs w:val="21"/>
              </w:rPr>
            </w:pPr>
            <w:r>
              <w:rPr>
                <w:sz w:val="24"/>
                <w:szCs w:val="21"/>
              </w:rPr>
              <w:t>7.2.2</w:t>
            </w:r>
          </w:p>
        </w:tc>
      </w:tr>
      <w:tr w14:paraId="0B577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 w:hRule="atLeast"/>
        </w:trPr>
        <w:tc>
          <w:tcPr>
            <w:tcW w:w="733" w:type="pct"/>
            <w:tcBorders>
              <w:top w:val="single" w:color="auto" w:sz="4" w:space="0"/>
              <w:left w:val="single" w:color="auto" w:sz="4" w:space="0"/>
              <w:bottom w:val="single" w:color="auto" w:sz="4" w:space="0"/>
              <w:right w:val="single" w:color="auto" w:sz="4" w:space="0"/>
            </w:tcBorders>
            <w:vAlign w:val="center"/>
          </w:tcPr>
          <w:p w14:paraId="4C2F4158">
            <w:pPr>
              <w:snapToGrid w:val="0"/>
              <w:jc w:val="center"/>
              <w:rPr>
                <w:sz w:val="24"/>
                <w:szCs w:val="21"/>
              </w:rPr>
            </w:pPr>
            <w:r>
              <w:rPr>
                <w:sz w:val="24"/>
                <w:szCs w:val="21"/>
              </w:rPr>
              <w:t>2</w:t>
            </w:r>
          </w:p>
        </w:tc>
        <w:tc>
          <w:tcPr>
            <w:tcW w:w="1838" w:type="pct"/>
            <w:tcBorders>
              <w:top w:val="single" w:color="auto" w:sz="4" w:space="0"/>
              <w:left w:val="single" w:color="auto" w:sz="4" w:space="0"/>
              <w:bottom w:val="single" w:color="auto" w:sz="4" w:space="0"/>
              <w:right w:val="single" w:color="auto" w:sz="4" w:space="0"/>
            </w:tcBorders>
            <w:vAlign w:val="center"/>
          </w:tcPr>
          <w:p w14:paraId="473939D5">
            <w:pPr>
              <w:snapToGrid w:val="0"/>
              <w:jc w:val="center"/>
              <w:rPr>
                <w:sz w:val="24"/>
                <w:szCs w:val="21"/>
              </w:rPr>
            </w:pPr>
            <w:r>
              <w:rPr>
                <w:rFonts w:hint="eastAsia" w:hAnsi="宋体"/>
                <w:sz w:val="24"/>
              </w:rPr>
              <w:t>电池充放电产热量相对误差</w:t>
            </w:r>
          </w:p>
        </w:tc>
        <w:tc>
          <w:tcPr>
            <w:tcW w:w="1237" w:type="pct"/>
            <w:tcBorders>
              <w:top w:val="single" w:color="auto" w:sz="4" w:space="0"/>
              <w:left w:val="single" w:color="auto" w:sz="4" w:space="0"/>
              <w:bottom w:val="single" w:color="auto" w:sz="4" w:space="0"/>
              <w:right w:val="single" w:color="auto" w:sz="4" w:space="0"/>
            </w:tcBorders>
            <w:vAlign w:val="center"/>
          </w:tcPr>
          <w:p w14:paraId="64DE449B">
            <w:pPr>
              <w:snapToGrid w:val="0"/>
              <w:jc w:val="center"/>
              <w:rPr>
                <w:sz w:val="24"/>
                <w:szCs w:val="21"/>
              </w:rPr>
            </w:pPr>
            <w:r>
              <w:rPr>
                <w:sz w:val="24"/>
                <w:szCs w:val="21"/>
              </w:rPr>
              <w:t>5.</w:t>
            </w:r>
            <w:r>
              <w:rPr>
                <w:rFonts w:hint="eastAsia"/>
                <w:sz w:val="24"/>
                <w:szCs w:val="21"/>
              </w:rPr>
              <w:t>2</w:t>
            </w:r>
          </w:p>
        </w:tc>
        <w:tc>
          <w:tcPr>
            <w:tcW w:w="1191" w:type="pct"/>
            <w:tcBorders>
              <w:top w:val="single" w:color="auto" w:sz="4" w:space="0"/>
              <w:left w:val="single" w:color="auto" w:sz="4" w:space="0"/>
              <w:bottom w:val="single" w:color="auto" w:sz="4" w:space="0"/>
              <w:right w:val="single" w:color="auto" w:sz="4" w:space="0"/>
            </w:tcBorders>
            <w:vAlign w:val="center"/>
          </w:tcPr>
          <w:p w14:paraId="321793FA">
            <w:pPr>
              <w:snapToGrid w:val="0"/>
              <w:jc w:val="center"/>
              <w:rPr>
                <w:sz w:val="24"/>
                <w:szCs w:val="21"/>
              </w:rPr>
            </w:pPr>
            <w:r>
              <w:rPr>
                <w:sz w:val="24"/>
                <w:szCs w:val="21"/>
              </w:rPr>
              <w:t>7.2.</w:t>
            </w:r>
            <w:r>
              <w:rPr>
                <w:rFonts w:hint="eastAsia"/>
                <w:sz w:val="24"/>
                <w:szCs w:val="21"/>
              </w:rPr>
              <w:t>3</w:t>
            </w:r>
          </w:p>
        </w:tc>
      </w:tr>
      <w:tr w14:paraId="2930AC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 w:hRule="atLeast"/>
        </w:trPr>
        <w:tc>
          <w:tcPr>
            <w:tcW w:w="733" w:type="pct"/>
            <w:tcBorders>
              <w:top w:val="single" w:color="auto" w:sz="4" w:space="0"/>
              <w:left w:val="single" w:color="auto" w:sz="4" w:space="0"/>
              <w:bottom w:val="single" w:color="auto" w:sz="4" w:space="0"/>
              <w:right w:val="single" w:color="auto" w:sz="4" w:space="0"/>
            </w:tcBorders>
            <w:vAlign w:val="center"/>
          </w:tcPr>
          <w:p w14:paraId="4408FFF4">
            <w:pPr>
              <w:snapToGrid w:val="0"/>
              <w:jc w:val="center"/>
              <w:rPr>
                <w:sz w:val="24"/>
                <w:szCs w:val="21"/>
              </w:rPr>
            </w:pPr>
            <w:r>
              <w:rPr>
                <w:sz w:val="24"/>
                <w:szCs w:val="21"/>
              </w:rPr>
              <w:t>3</w:t>
            </w:r>
          </w:p>
        </w:tc>
        <w:tc>
          <w:tcPr>
            <w:tcW w:w="1838" w:type="pct"/>
            <w:tcBorders>
              <w:top w:val="single" w:color="auto" w:sz="4" w:space="0"/>
              <w:left w:val="single" w:color="auto" w:sz="4" w:space="0"/>
              <w:bottom w:val="single" w:color="auto" w:sz="4" w:space="0"/>
              <w:right w:val="single" w:color="auto" w:sz="4" w:space="0"/>
            </w:tcBorders>
            <w:vAlign w:val="center"/>
          </w:tcPr>
          <w:p w14:paraId="1B5A244B">
            <w:pPr>
              <w:snapToGrid w:val="0"/>
              <w:jc w:val="center"/>
              <w:rPr>
                <w:sz w:val="24"/>
                <w:szCs w:val="21"/>
              </w:rPr>
            </w:pPr>
            <w:r>
              <w:rPr>
                <w:rFonts w:hAnsi="宋体"/>
                <w:sz w:val="24"/>
              </w:rPr>
              <w:t>温度示值误差</w:t>
            </w:r>
          </w:p>
        </w:tc>
        <w:tc>
          <w:tcPr>
            <w:tcW w:w="1237" w:type="pct"/>
            <w:tcBorders>
              <w:top w:val="single" w:color="auto" w:sz="4" w:space="0"/>
              <w:left w:val="single" w:color="auto" w:sz="4" w:space="0"/>
              <w:bottom w:val="single" w:color="auto" w:sz="4" w:space="0"/>
              <w:right w:val="single" w:color="auto" w:sz="4" w:space="0"/>
            </w:tcBorders>
            <w:vAlign w:val="center"/>
          </w:tcPr>
          <w:p w14:paraId="148A98F2">
            <w:pPr>
              <w:snapToGrid w:val="0"/>
              <w:jc w:val="center"/>
              <w:rPr>
                <w:sz w:val="24"/>
                <w:szCs w:val="21"/>
              </w:rPr>
            </w:pPr>
            <w:r>
              <w:rPr>
                <w:sz w:val="24"/>
                <w:szCs w:val="21"/>
              </w:rPr>
              <w:t>5.</w:t>
            </w:r>
            <w:r>
              <w:rPr>
                <w:rFonts w:hint="eastAsia"/>
                <w:sz w:val="24"/>
                <w:szCs w:val="21"/>
              </w:rPr>
              <w:t>3</w:t>
            </w:r>
          </w:p>
        </w:tc>
        <w:tc>
          <w:tcPr>
            <w:tcW w:w="1191" w:type="pct"/>
            <w:tcBorders>
              <w:top w:val="single" w:color="auto" w:sz="4" w:space="0"/>
              <w:left w:val="single" w:color="auto" w:sz="4" w:space="0"/>
              <w:bottom w:val="single" w:color="auto" w:sz="4" w:space="0"/>
              <w:right w:val="single" w:color="auto" w:sz="4" w:space="0"/>
            </w:tcBorders>
            <w:vAlign w:val="center"/>
          </w:tcPr>
          <w:p w14:paraId="02D96C1A">
            <w:pPr>
              <w:snapToGrid w:val="0"/>
              <w:jc w:val="center"/>
              <w:rPr>
                <w:sz w:val="24"/>
                <w:szCs w:val="21"/>
              </w:rPr>
            </w:pPr>
            <w:r>
              <w:rPr>
                <w:sz w:val="24"/>
                <w:szCs w:val="21"/>
              </w:rPr>
              <w:t>7.2.</w:t>
            </w:r>
            <w:r>
              <w:rPr>
                <w:rFonts w:hint="eastAsia"/>
                <w:sz w:val="24"/>
                <w:szCs w:val="21"/>
              </w:rPr>
              <w:t>4</w:t>
            </w:r>
          </w:p>
        </w:tc>
      </w:tr>
      <w:tr w14:paraId="5C333F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 w:hRule="atLeast"/>
        </w:trPr>
        <w:tc>
          <w:tcPr>
            <w:tcW w:w="733" w:type="pct"/>
            <w:tcBorders>
              <w:top w:val="single" w:color="auto" w:sz="4" w:space="0"/>
              <w:left w:val="single" w:color="auto" w:sz="4" w:space="0"/>
              <w:bottom w:val="single" w:color="auto" w:sz="4" w:space="0"/>
              <w:right w:val="single" w:color="auto" w:sz="4" w:space="0"/>
            </w:tcBorders>
            <w:vAlign w:val="center"/>
          </w:tcPr>
          <w:p w14:paraId="1247EB68">
            <w:pPr>
              <w:snapToGrid w:val="0"/>
              <w:jc w:val="center"/>
              <w:rPr>
                <w:sz w:val="24"/>
                <w:szCs w:val="21"/>
              </w:rPr>
            </w:pPr>
            <w:r>
              <w:rPr>
                <w:sz w:val="24"/>
                <w:szCs w:val="21"/>
              </w:rPr>
              <w:t>4</w:t>
            </w:r>
          </w:p>
        </w:tc>
        <w:tc>
          <w:tcPr>
            <w:tcW w:w="1838" w:type="pct"/>
            <w:tcBorders>
              <w:top w:val="single" w:color="auto" w:sz="4" w:space="0"/>
              <w:left w:val="single" w:color="auto" w:sz="4" w:space="0"/>
              <w:bottom w:val="single" w:color="auto" w:sz="4" w:space="0"/>
              <w:right w:val="single" w:color="auto" w:sz="4" w:space="0"/>
            </w:tcBorders>
            <w:vAlign w:val="center"/>
          </w:tcPr>
          <w:p w14:paraId="2D5691B2">
            <w:pPr>
              <w:snapToGrid w:val="0"/>
              <w:jc w:val="center"/>
              <w:rPr>
                <w:color w:val="FF0000"/>
                <w:sz w:val="24"/>
                <w:szCs w:val="21"/>
              </w:rPr>
            </w:pPr>
            <w:r>
              <w:rPr>
                <w:rFonts w:hAnsi="宋体"/>
                <w:sz w:val="24"/>
                <w:szCs w:val="21"/>
              </w:rPr>
              <w:t>温度波动度</w:t>
            </w:r>
          </w:p>
        </w:tc>
        <w:tc>
          <w:tcPr>
            <w:tcW w:w="1237" w:type="pct"/>
            <w:tcBorders>
              <w:top w:val="single" w:color="auto" w:sz="4" w:space="0"/>
              <w:left w:val="single" w:color="auto" w:sz="4" w:space="0"/>
              <w:bottom w:val="single" w:color="auto" w:sz="4" w:space="0"/>
              <w:right w:val="single" w:color="auto" w:sz="4" w:space="0"/>
            </w:tcBorders>
            <w:vAlign w:val="center"/>
          </w:tcPr>
          <w:p w14:paraId="51C03DA1">
            <w:pPr>
              <w:snapToGrid w:val="0"/>
              <w:jc w:val="center"/>
              <w:rPr>
                <w:sz w:val="24"/>
                <w:szCs w:val="21"/>
              </w:rPr>
            </w:pPr>
            <w:r>
              <w:rPr>
                <w:sz w:val="24"/>
                <w:szCs w:val="21"/>
              </w:rPr>
              <w:t>5.</w:t>
            </w:r>
            <w:r>
              <w:rPr>
                <w:rFonts w:hint="eastAsia"/>
                <w:sz w:val="24"/>
                <w:szCs w:val="21"/>
              </w:rPr>
              <w:t>4</w:t>
            </w:r>
          </w:p>
        </w:tc>
        <w:tc>
          <w:tcPr>
            <w:tcW w:w="1191" w:type="pct"/>
            <w:tcBorders>
              <w:top w:val="single" w:color="auto" w:sz="4" w:space="0"/>
              <w:left w:val="single" w:color="auto" w:sz="4" w:space="0"/>
              <w:bottom w:val="single" w:color="auto" w:sz="4" w:space="0"/>
              <w:right w:val="single" w:color="auto" w:sz="4" w:space="0"/>
            </w:tcBorders>
            <w:vAlign w:val="center"/>
          </w:tcPr>
          <w:p w14:paraId="49E8A685">
            <w:pPr>
              <w:snapToGrid w:val="0"/>
              <w:jc w:val="center"/>
              <w:rPr>
                <w:sz w:val="24"/>
                <w:szCs w:val="21"/>
              </w:rPr>
            </w:pPr>
            <w:r>
              <w:rPr>
                <w:sz w:val="24"/>
                <w:szCs w:val="21"/>
              </w:rPr>
              <w:t>7.2.</w:t>
            </w:r>
            <w:r>
              <w:rPr>
                <w:rFonts w:hint="eastAsia"/>
                <w:sz w:val="24"/>
                <w:szCs w:val="21"/>
              </w:rPr>
              <w:t>4</w:t>
            </w:r>
          </w:p>
        </w:tc>
      </w:tr>
    </w:tbl>
    <w:p w14:paraId="15E8BA9E"/>
    <w:p w14:paraId="420379CA">
      <w:pPr>
        <w:pStyle w:val="3"/>
        <w:spacing w:before="0" w:after="0" w:line="360" w:lineRule="auto"/>
        <w:rPr>
          <w:rStyle w:val="27"/>
          <w:rFonts w:ascii="Times New Roman" w:hAnsi="Times New Roman" w:eastAsia="宋体"/>
          <w:b w:val="0"/>
          <w:bCs w:val="0"/>
          <w:sz w:val="24"/>
          <w:szCs w:val="24"/>
        </w:rPr>
      </w:pPr>
      <w:bookmarkStart w:id="58" w:name="_Toc184839117"/>
      <w:bookmarkStart w:id="59" w:name="_Toc8227"/>
      <w:bookmarkStart w:id="60" w:name="_Toc26048"/>
      <w:bookmarkStart w:id="61" w:name="_Toc121724292"/>
      <w:bookmarkStart w:id="62" w:name="_Toc1200"/>
      <w:r>
        <w:rPr>
          <w:rStyle w:val="27"/>
          <w:rFonts w:hint="eastAsia" w:ascii="Times New Roman" w:hAnsi="Times New Roman" w:eastAsia="宋体"/>
          <w:b w:val="0"/>
          <w:bCs w:val="0"/>
          <w:sz w:val="24"/>
          <w:szCs w:val="24"/>
        </w:rPr>
        <w:t xml:space="preserve">7.2 </w:t>
      </w:r>
      <w:r>
        <w:rPr>
          <w:rStyle w:val="27"/>
          <w:rFonts w:ascii="Times New Roman" w:hAnsi="Times New Roman" w:eastAsia="宋体"/>
          <w:b w:val="0"/>
          <w:bCs w:val="0"/>
          <w:sz w:val="24"/>
          <w:szCs w:val="24"/>
        </w:rPr>
        <w:t>校准方法</w:t>
      </w:r>
      <w:bookmarkEnd w:id="58"/>
    </w:p>
    <w:p w14:paraId="72885A70">
      <w:pPr>
        <w:autoSpaceDE w:val="0"/>
        <w:autoSpaceDN w:val="0"/>
        <w:adjustRightInd w:val="0"/>
        <w:spacing w:line="360" w:lineRule="auto"/>
        <w:ind w:left="2240" w:hanging="2240"/>
        <w:rPr>
          <w:rFonts w:asciiTheme="minorEastAsia" w:hAnsiTheme="minorEastAsia" w:eastAsiaTheme="minorEastAsia"/>
          <w:b/>
          <w:bCs/>
          <w:sz w:val="24"/>
        </w:rPr>
      </w:pPr>
      <w:bookmarkStart w:id="63" w:name="_Toc184839118"/>
      <w:bookmarkStart w:id="64" w:name="_Toc184838686"/>
      <w:r>
        <w:rPr>
          <w:rStyle w:val="27"/>
          <w:rFonts w:hint="eastAsia" w:asciiTheme="minorEastAsia" w:hAnsiTheme="minorEastAsia" w:eastAsiaTheme="minorEastAsia"/>
          <w:b w:val="0"/>
          <w:sz w:val="24"/>
        </w:rPr>
        <w:t xml:space="preserve">7.2.1 </w:t>
      </w:r>
      <w:r>
        <w:rPr>
          <w:rStyle w:val="27"/>
          <w:rFonts w:asciiTheme="minorEastAsia" w:hAnsiTheme="minorEastAsia" w:eastAsiaTheme="minorEastAsia"/>
          <w:b w:val="0"/>
          <w:sz w:val="24"/>
        </w:rPr>
        <w:t>校准前准备</w:t>
      </w:r>
      <w:bookmarkEnd w:id="59"/>
      <w:bookmarkEnd w:id="60"/>
      <w:bookmarkEnd w:id="61"/>
      <w:bookmarkEnd w:id="62"/>
      <w:bookmarkEnd w:id="63"/>
      <w:bookmarkEnd w:id="64"/>
    </w:p>
    <w:p w14:paraId="3B30F104">
      <w:pPr>
        <w:snapToGrid w:val="0"/>
        <w:spacing w:line="360" w:lineRule="auto"/>
        <w:ind w:firstLine="240" w:firstLineChars="100"/>
        <w:jc w:val="left"/>
        <w:rPr>
          <w:sz w:val="24"/>
        </w:rPr>
      </w:pPr>
      <w:bookmarkStart w:id="65" w:name="_Toc121724293"/>
      <w:bookmarkStart w:id="66" w:name="_Toc14715"/>
      <w:bookmarkStart w:id="67" w:name="_Toc6089"/>
      <w:bookmarkStart w:id="68" w:name="_Toc13058"/>
      <w:r>
        <w:rPr>
          <w:sz w:val="24"/>
        </w:rPr>
        <w:t>a) 外观检查</w:t>
      </w:r>
    </w:p>
    <w:p w14:paraId="2873920F">
      <w:pPr>
        <w:snapToGrid w:val="0"/>
        <w:spacing w:line="360" w:lineRule="auto"/>
        <w:ind w:firstLine="480"/>
        <w:jc w:val="left"/>
        <w:rPr>
          <w:sz w:val="24"/>
        </w:rPr>
      </w:pPr>
      <w:r>
        <w:rPr>
          <w:sz w:val="24"/>
        </w:rPr>
        <w:t>被校</w:t>
      </w:r>
      <w:r>
        <w:rPr>
          <w:rFonts w:hint="eastAsia"/>
          <w:sz w:val="24"/>
        </w:rPr>
        <w:t>锂离子电池电芯热参数测试仪应外观完整</w:t>
      </w:r>
      <w:r>
        <w:rPr>
          <w:sz w:val="24"/>
        </w:rPr>
        <w:t>，不应有影响工作性能的机械损伤。仪器的名称、型号、制造厂名或商标、出厂编号、额定输入电压和频率、输出参数额定值等信息应齐全；端钮、通信端口、开关、按键和调节旋钮应无松动、损伤、脱落；各种功能标志应齐全正确；</w:t>
      </w:r>
      <w:r>
        <w:rPr>
          <w:rFonts w:hint="eastAsia"/>
          <w:sz w:val="24"/>
        </w:rPr>
        <w:t>仪器</w:t>
      </w:r>
      <w:r>
        <w:rPr>
          <w:rFonts w:eastAsia="新宋体"/>
          <w:sz w:val="24"/>
        </w:rPr>
        <w:t>配备的专用测试线、使用说明数等附件要齐全。</w:t>
      </w:r>
    </w:p>
    <w:p w14:paraId="1ABF9F94">
      <w:pPr>
        <w:snapToGrid w:val="0"/>
        <w:spacing w:line="360" w:lineRule="auto"/>
        <w:jc w:val="left"/>
        <w:rPr>
          <w:sz w:val="24"/>
        </w:rPr>
      </w:pPr>
      <w:r>
        <w:rPr>
          <w:sz w:val="24"/>
        </w:rPr>
        <w:t xml:space="preserve">   b) 工作正常性检查</w:t>
      </w:r>
    </w:p>
    <w:p w14:paraId="2FA1621D">
      <w:pPr>
        <w:snapToGrid w:val="0"/>
        <w:spacing w:line="360" w:lineRule="auto"/>
        <w:ind w:firstLine="480"/>
        <w:jc w:val="left"/>
        <w:rPr>
          <w:sz w:val="24"/>
        </w:rPr>
      </w:pPr>
      <w:r>
        <w:rPr>
          <w:sz w:val="24"/>
        </w:rPr>
        <w:t>通电后开关、按键、调节旋钮、测量仪表和各种状态指示灯（标志）应工作正常。仪器应能正常与计算机通信，</w:t>
      </w:r>
      <w:r>
        <w:rPr>
          <w:rFonts w:hint="eastAsia"/>
          <w:sz w:val="24"/>
        </w:rPr>
        <w:t>标准直流电源</w:t>
      </w:r>
      <w:r>
        <w:rPr>
          <w:sz w:val="24"/>
        </w:rPr>
        <w:t>等各项功能应正常工作。</w:t>
      </w:r>
    </w:p>
    <w:p w14:paraId="531F2400">
      <w:pPr>
        <w:snapToGrid w:val="0"/>
        <w:spacing w:line="360" w:lineRule="auto"/>
        <w:jc w:val="left"/>
        <w:rPr>
          <w:sz w:val="24"/>
        </w:rPr>
      </w:pPr>
      <w:r>
        <w:rPr>
          <w:sz w:val="24"/>
        </w:rPr>
        <w:t xml:space="preserve">   c) 预热</w:t>
      </w:r>
    </w:p>
    <w:p w14:paraId="44B879AE">
      <w:pPr>
        <w:snapToGrid w:val="0"/>
        <w:spacing w:line="360" w:lineRule="auto"/>
        <w:ind w:firstLine="480"/>
        <w:jc w:val="left"/>
        <w:rPr>
          <w:sz w:val="24"/>
          <w:highlight w:val="yellow"/>
        </w:rPr>
      </w:pPr>
      <w:r>
        <w:rPr>
          <w:sz w:val="24"/>
        </w:rPr>
        <w:t>被校</w:t>
      </w:r>
      <w:r>
        <w:rPr>
          <w:rFonts w:hint="eastAsia"/>
          <w:sz w:val="24"/>
        </w:rPr>
        <w:t>锂离子电池电芯热参数测试仪</w:t>
      </w:r>
      <w:r>
        <w:rPr>
          <w:sz w:val="24"/>
        </w:rPr>
        <w:t>按</w:t>
      </w:r>
      <w:r>
        <w:rPr>
          <w:rFonts w:hint="eastAsia"/>
          <w:sz w:val="24"/>
        </w:rPr>
        <w:t>仪器</w:t>
      </w:r>
      <w:r>
        <w:rPr>
          <w:sz w:val="24"/>
        </w:rPr>
        <w:t>说明书和实际工作需要进行预热；无要求时，开机预热时间不小于30min。</w:t>
      </w:r>
    </w:p>
    <w:bookmarkEnd w:id="65"/>
    <w:p w14:paraId="30D44BEA">
      <w:pPr>
        <w:pStyle w:val="38"/>
        <w:numPr>
          <w:ilvl w:val="2"/>
          <w:numId w:val="1"/>
        </w:numPr>
        <w:autoSpaceDE w:val="0"/>
        <w:autoSpaceDN w:val="0"/>
        <w:adjustRightInd w:val="0"/>
        <w:spacing w:beforeLines="50" w:line="360" w:lineRule="auto"/>
        <w:ind w:firstLineChars="0"/>
        <w:rPr>
          <w:rStyle w:val="27"/>
          <w:rFonts w:asciiTheme="minorEastAsia" w:hAnsiTheme="minorEastAsia" w:eastAsiaTheme="minorEastAsia"/>
          <w:b w:val="0"/>
          <w:sz w:val="24"/>
        </w:rPr>
      </w:pPr>
      <w:r>
        <w:rPr>
          <w:rStyle w:val="27"/>
          <w:rFonts w:hint="eastAsia" w:asciiTheme="minorEastAsia" w:hAnsiTheme="minorEastAsia" w:eastAsiaTheme="minorEastAsia"/>
          <w:b w:val="0"/>
          <w:sz w:val="24"/>
        </w:rPr>
        <w:t>自放热检测灵敏度</w:t>
      </w:r>
    </w:p>
    <w:p w14:paraId="3FB2FD68">
      <w:pPr>
        <w:snapToGrid w:val="0"/>
        <w:spacing w:line="360" w:lineRule="auto"/>
        <w:ind w:firstLine="360"/>
        <w:jc w:val="left"/>
        <w:rPr>
          <w:sz w:val="24"/>
        </w:rPr>
      </w:pPr>
      <w:r>
        <w:rPr>
          <w:sz w:val="24"/>
        </w:rPr>
        <w:t xml:space="preserve">a) </w:t>
      </w:r>
      <w:r>
        <w:rPr>
          <w:rFonts w:hint="eastAsia"/>
          <w:sz w:val="24"/>
        </w:rPr>
        <w:t>用电子天平称量标准样块质量m并记录。</w:t>
      </w:r>
    </w:p>
    <w:p w14:paraId="052C7B83">
      <w:pPr>
        <w:snapToGrid w:val="0"/>
        <w:spacing w:line="360" w:lineRule="auto"/>
        <w:ind w:firstLine="360"/>
        <w:jc w:val="left"/>
        <w:rPr>
          <w:sz w:val="24"/>
        </w:rPr>
      </w:pPr>
      <w:r>
        <w:rPr>
          <w:sz w:val="24"/>
        </w:rPr>
        <w:t>b)</w:t>
      </w:r>
      <w:r>
        <w:rPr>
          <w:rFonts w:hint="eastAsia"/>
          <w:sz w:val="24"/>
        </w:rPr>
        <w:t xml:space="preserve"> 将标准样块</w:t>
      </w:r>
      <w:r>
        <w:rPr>
          <w:sz w:val="24"/>
        </w:rPr>
        <w:t>安装于</w:t>
      </w:r>
      <w:r>
        <w:rPr>
          <w:rFonts w:hint="eastAsia"/>
          <w:sz w:val="24"/>
        </w:rPr>
        <w:t>样品支架上，将仪器自带的温度传感器探头固定于标准样块大面中心位置。</w:t>
      </w:r>
    </w:p>
    <w:p w14:paraId="2613E4A6">
      <w:pPr>
        <w:snapToGrid w:val="0"/>
        <w:spacing w:line="360" w:lineRule="auto"/>
        <w:ind w:firstLine="360"/>
        <w:rPr>
          <w:sz w:val="24"/>
        </w:rPr>
      </w:pPr>
      <w:r>
        <w:rPr>
          <w:rFonts w:hint="eastAsia"/>
          <w:sz w:val="24"/>
        </w:rPr>
        <w:t>c</w:t>
      </w:r>
      <w:r>
        <w:rPr>
          <w:sz w:val="24"/>
        </w:rPr>
        <w:t>)</w:t>
      </w:r>
      <w:r>
        <w:rPr>
          <w:rFonts w:hint="eastAsia"/>
          <w:sz w:val="24"/>
        </w:rPr>
        <w:t xml:space="preserve"> </w:t>
      </w:r>
      <w:r>
        <w:rPr>
          <w:sz w:val="24"/>
        </w:rPr>
        <w:t>当标准直流电源具有电压电流回读功能时，按图</w:t>
      </w:r>
      <w:r>
        <w:rPr>
          <w:rFonts w:hint="eastAsia"/>
          <w:sz w:val="24"/>
        </w:rPr>
        <w:t>2</w:t>
      </w:r>
      <w:r>
        <w:rPr>
          <w:sz w:val="24"/>
        </w:rPr>
        <w:t>连接</w:t>
      </w:r>
      <w:r>
        <w:rPr>
          <w:rFonts w:hint="eastAsia"/>
          <w:sz w:val="24"/>
        </w:rPr>
        <w:t>标准样</w:t>
      </w:r>
      <w:r>
        <w:rPr>
          <w:sz w:val="24"/>
        </w:rPr>
        <w:t>块与标准直流电源</w:t>
      </w:r>
      <w:r>
        <w:rPr>
          <w:rFonts w:hint="eastAsia"/>
          <w:sz w:val="24"/>
        </w:rPr>
        <w:t>，准样</w:t>
      </w:r>
      <w:r>
        <w:rPr>
          <w:sz w:val="24"/>
        </w:rPr>
        <w:t>块按照四线制接法分别连接标准直流电源电流端和电压端</w:t>
      </w:r>
      <w:r>
        <w:rPr>
          <w:rFonts w:hint="eastAsia"/>
          <w:sz w:val="24"/>
        </w:rPr>
        <w:t>。</w:t>
      </w:r>
      <w:r>
        <w:rPr>
          <w:sz w:val="24"/>
        </w:rPr>
        <w:t xml:space="preserve"> </w:t>
      </w:r>
    </w:p>
    <w:p w14:paraId="0D9497A3">
      <w:pPr>
        <w:pStyle w:val="38"/>
        <w:snapToGrid w:val="0"/>
        <w:spacing w:line="360" w:lineRule="auto"/>
        <w:ind w:left="360" w:firstLine="0" w:firstLineChars="0"/>
        <w:jc w:val="center"/>
      </w:pPr>
      <w:r>
        <w:object>
          <v:shape id="_x0000_i1025" o:spt="75" type="#_x0000_t75" style="height:144pt;width:176.25pt;" o:ole="t" filled="f" o:preferrelative="t" stroked="f" coordsize="21600,21600">
            <v:path/>
            <v:fill on="f" focussize="0,0"/>
            <v:stroke on="f" joinstyle="miter"/>
            <v:imagedata r:id="rId19" o:title=""/>
            <o:lock v:ext="edit" aspectratio="t"/>
            <w10:wrap type="none"/>
            <w10:anchorlock/>
          </v:shape>
          <o:OLEObject Type="Embed" ProgID="Visio.Drawing.15" ShapeID="_x0000_i1025" DrawAspect="Content" ObjectID="_1468075725" r:id="rId18">
            <o:LockedField>false</o:LockedField>
          </o:OLEObject>
        </w:object>
      </w:r>
    </w:p>
    <w:p w14:paraId="3C046270">
      <w:pPr>
        <w:pStyle w:val="38"/>
        <w:snapToGrid w:val="0"/>
        <w:spacing w:line="360" w:lineRule="auto"/>
        <w:ind w:left="360" w:firstLine="0" w:firstLineChars="0"/>
        <w:jc w:val="center"/>
        <w:rPr>
          <w:sz w:val="22"/>
          <w:szCs w:val="18"/>
        </w:rPr>
      </w:pPr>
      <w:r>
        <w:rPr>
          <w:sz w:val="22"/>
          <w:szCs w:val="18"/>
        </w:rPr>
        <w:t>图</w:t>
      </w:r>
      <w:r>
        <w:rPr>
          <w:rFonts w:hint="eastAsia"/>
          <w:sz w:val="22"/>
          <w:szCs w:val="18"/>
        </w:rPr>
        <w:t>2</w:t>
      </w:r>
      <w:r>
        <w:rPr>
          <w:sz w:val="22"/>
          <w:szCs w:val="18"/>
        </w:rPr>
        <w:t xml:space="preserve"> 标准直流电源</w:t>
      </w:r>
      <w:r>
        <w:rPr>
          <w:rFonts w:hint="eastAsia"/>
          <w:sz w:val="22"/>
          <w:szCs w:val="18"/>
        </w:rPr>
        <w:t>连接</w:t>
      </w:r>
      <w:r>
        <w:rPr>
          <w:sz w:val="22"/>
          <w:szCs w:val="18"/>
        </w:rPr>
        <w:t>示意图</w:t>
      </w:r>
    </w:p>
    <w:p w14:paraId="6FBEB0D9">
      <w:pPr>
        <w:snapToGrid w:val="0"/>
        <w:spacing w:line="360" w:lineRule="auto"/>
        <w:ind w:firstLine="360"/>
        <w:jc w:val="left"/>
        <w:rPr>
          <w:sz w:val="24"/>
        </w:rPr>
      </w:pPr>
      <w:r>
        <w:rPr>
          <w:sz w:val="24"/>
        </w:rPr>
        <w:t>当标准直流电源不具有电压电流回读功能时，按图</w:t>
      </w:r>
      <w:r>
        <w:rPr>
          <w:rFonts w:hint="eastAsia"/>
          <w:sz w:val="24"/>
        </w:rPr>
        <w:t>3</w:t>
      </w:r>
      <w:r>
        <w:rPr>
          <w:sz w:val="24"/>
        </w:rPr>
        <w:t>连接</w:t>
      </w:r>
      <w:r>
        <w:rPr>
          <w:rFonts w:hint="eastAsia"/>
          <w:sz w:val="24"/>
        </w:rPr>
        <w:t>标准样</w:t>
      </w:r>
      <w:r>
        <w:rPr>
          <w:sz w:val="24"/>
        </w:rPr>
        <w:t>块、标准直流电源、直流电流表以及数字电压表。</w:t>
      </w:r>
    </w:p>
    <w:p w14:paraId="5F5B8A81">
      <w:pPr>
        <w:pStyle w:val="38"/>
        <w:snapToGrid w:val="0"/>
        <w:spacing w:line="360" w:lineRule="auto"/>
        <w:ind w:left="360" w:firstLine="0" w:firstLineChars="0"/>
        <w:jc w:val="center"/>
      </w:pPr>
      <w:r>
        <w:object>
          <v:shape id="_x0000_i1026" o:spt="75" type="#_x0000_t75" style="height:209.25pt;width:188.25pt;" o:ole="t" filled="f" o:preferrelative="t" stroked="f" coordsize="21600,21600">
            <v:path/>
            <v:fill on="f" focussize="0,0"/>
            <v:stroke on="f" joinstyle="miter"/>
            <v:imagedata r:id="rId21" o:title=""/>
            <o:lock v:ext="edit" aspectratio="t"/>
            <w10:wrap type="none"/>
            <w10:anchorlock/>
          </v:shape>
          <o:OLEObject Type="Embed" ProgID="Visio.Drawing.15" ShapeID="_x0000_i1026" DrawAspect="Content" ObjectID="_1468075726" r:id="rId20">
            <o:LockedField>false</o:LockedField>
          </o:OLEObject>
        </w:object>
      </w:r>
    </w:p>
    <w:p w14:paraId="249AE432">
      <w:pPr>
        <w:pStyle w:val="38"/>
        <w:snapToGrid w:val="0"/>
        <w:spacing w:line="360" w:lineRule="auto"/>
        <w:ind w:left="360" w:firstLine="0" w:firstLineChars="0"/>
        <w:jc w:val="center"/>
        <w:rPr>
          <w:rStyle w:val="27"/>
          <w:rFonts w:ascii="Calibri" w:hAnsi="Calibri"/>
          <w:b w:val="0"/>
          <w:bCs w:val="0"/>
          <w:sz w:val="22"/>
          <w:szCs w:val="18"/>
        </w:rPr>
      </w:pPr>
      <w:r>
        <w:rPr>
          <w:sz w:val="22"/>
          <w:szCs w:val="18"/>
        </w:rPr>
        <w:t>图</w:t>
      </w:r>
      <w:r>
        <w:rPr>
          <w:rFonts w:hint="eastAsia"/>
          <w:sz w:val="22"/>
          <w:szCs w:val="18"/>
        </w:rPr>
        <w:t>3</w:t>
      </w:r>
      <w:r>
        <w:rPr>
          <w:sz w:val="22"/>
          <w:szCs w:val="18"/>
        </w:rPr>
        <w:t xml:space="preserve">  电压电流表</w:t>
      </w:r>
      <w:r>
        <w:rPr>
          <w:rFonts w:hint="eastAsia"/>
          <w:sz w:val="22"/>
          <w:szCs w:val="18"/>
        </w:rPr>
        <w:t>连接</w:t>
      </w:r>
      <w:r>
        <w:rPr>
          <w:sz w:val="22"/>
          <w:szCs w:val="18"/>
        </w:rPr>
        <w:t>示意图</w:t>
      </w:r>
    </w:p>
    <w:bookmarkEnd w:id="66"/>
    <w:bookmarkEnd w:id="67"/>
    <w:bookmarkEnd w:id="68"/>
    <w:p w14:paraId="132DE399">
      <w:pPr>
        <w:tabs>
          <w:tab w:val="left" w:pos="540"/>
        </w:tabs>
        <w:autoSpaceDE w:val="0"/>
        <w:autoSpaceDN w:val="0"/>
        <w:adjustRightInd w:val="0"/>
        <w:spacing w:line="360" w:lineRule="auto"/>
        <w:ind w:firstLine="480" w:firstLineChars="200"/>
        <w:rPr>
          <w:sz w:val="24"/>
        </w:rPr>
      </w:pPr>
      <w:r>
        <w:rPr>
          <w:rFonts w:hint="eastAsia"/>
          <w:sz w:val="24"/>
        </w:rPr>
        <w:t>d</w:t>
      </w:r>
      <w:r>
        <w:rPr>
          <w:sz w:val="24"/>
        </w:rPr>
        <w:t>)</w:t>
      </w:r>
      <w:r>
        <w:rPr>
          <w:rFonts w:hint="eastAsia"/>
          <w:sz w:val="24"/>
        </w:rPr>
        <w:t xml:space="preserve"> </w:t>
      </w:r>
      <w:r>
        <w:rPr>
          <w:sz w:val="24"/>
        </w:rPr>
        <w:t>启动被校</w:t>
      </w:r>
      <w:r>
        <w:rPr>
          <w:rFonts w:hint="eastAsia"/>
          <w:sz w:val="24"/>
        </w:rPr>
        <w:t>锂离子电池电芯热参数测试仪，设置绝热追踪模式，设置恒温温度为50</w:t>
      </w:r>
      <w:r>
        <w:rPr>
          <w:rFonts w:hint="eastAsia"/>
          <w:sz w:val="24"/>
          <w:vertAlign w:val="superscript"/>
        </w:rPr>
        <w:t>o</w:t>
      </w:r>
      <w:r>
        <w:rPr>
          <w:rFonts w:hint="eastAsia"/>
          <w:sz w:val="24"/>
        </w:rPr>
        <w:t>C，恒温结束</w:t>
      </w:r>
      <w:r>
        <w:rPr>
          <w:sz w:val="24"/>
        </w:rPr>
        <w:t>后，</w:t>
      </w:r>
      <w:r>
        <w:rPr>
          <w:rFonts w:hint="eastAsia"/>
          <w:sz w:val="24"/>
        </w:rPr>
        <w:t>在绝热追踪模式下</w:t>
      </w:r>
      <w:r>
        <w:rPr>
          <w:sz w:val="24"/>
        </w:rPr>
        <w:t>设定标准直流电源为恒流输出模式，根据</w:t>
      </w:r>
      <w:r>
        <w:rPr>
          <w:rFonts w:hint="eastAsia"/>
          <w:sz w:val="24"/>
        </w:rPr>
        <w:t>标准样</w:t>
      </w:r>
      <w:r>
        <w:rPr>
          <w:sz w:val="24"/>
        </w:rPr>
        <w:t>块阻值设定合适的输出电流值，</w:t>
      </w:r>
      <w:r>
        <w:rPr>
          <w:rFonts w:hint="eastAsia"/>
          <w:sz w:val="24"/>
        </w:rPr>
        <w:t>使得标准样块的预期升温速率为0.02</w:t>
      </w:r>
      <w:r>
        <w:rPr>
          <w:rFonts w:hint="eastAsia"/>
          <w:sz w:val="24"/>
          <w:vertAlign w:val="superscript"/>
        </w:rPr>
        <w:t>o</w:t>
      </w:r>
      <w:r>
        <w:rPr>
          <w:rFonts w:hint="eastAsia"/>
          <w:sz w:val="24"/>
        </w:rPr>
        <w:t>C/min</w:t>
      </w:r>
      <w:r>
        <w:rPr>
          <w:sz w:val="24"/>
        </w:rPr>
        <w:t>。同时，以不低于1 Hz的采样频率，同步记录</w:t>
      </w:r>
      <w:r>
        <w:rPr>
          <w:rFonts w:hint="eastAsia"/>
          <w:sz w:val="24"/>
        </w:rPr>
        <w:t>标准样块表面温度以及</w:t>
      </w:r>
      <w:r>
        <w:rPr>
          <w:sz w:val="24"/>
        </w:rPr>
        <w:t>标准直流电源回读电压与电流值或者由数字电压表与直流电流表同步记录电压电流值。</w:t>
      </w:r>
    </w:p>
    <w:p w14:paraId="13B1EC7A">
      <w:pPr>
        <w:snapToGrid w:val="0"/>
        <w:spacing w:line="360" w:lineRule="auto"/>
        <w:ind w:firstLine="420"/>
        <w:jc w:val="left"/>
        <w:rPr>
          <w:sz w:val="24"/>
        </w:rPr>
      </w:pPr>
      <w:r>
        <w:rPr>
          <w:rFonts w:hint="eastAsia"/>
          <w:sz w:val="24"/>
        </w:rPr>
        <w:t xml:space="preserve">e) </w:t>
      </w:r>
      <w:r>
        <w:rPr>
          <w:sz w:val="24"/>
        </w:rPr>
        <w:t>标准直流电源开始输出恒定电流，等待</w:t>
      </w:r>
      <w:r>
        <w:rPr>
          <w:rFonts w:hint="eastAsia"/>
          <w:sz w:val="24"/>
        </w:rPr>
        <w:t>40min</w:t>
      </w:r>
      <w:r>
        <w:rPr>
          <w:sz w:val="24"/>
        </w:rPr>
        <w:t>以上时间后，停止标准直流电源输出</w:t>
      </w:r>
      <w:r>
        <w:rPr>
          <w:rFonts w:hint="eastAsia"/>
          <w:sz w:val="24"/>
        </w:rPr>
        <w:t>。</w:t>
      </w:r>
    </w:p>
    <w:p w14:paraId="6CC4EE9F">
      <w:pPr>
        <w:snapToGrid w:val="0"/>
        <w:spacing w:line="360" w:lineRule="auto"/>
        <w:ind w:firstLine="420"/>
        <w:jc w:val="left"/>
        <w:rPr>
          <w:sz w:val="24"/>
        </w:rPr>
      </w:pPr>
      <w:r>
        <w:rPr>
          <w:rFonts w:hint="eastAsia"/>
          <w:sz w:val="24"/>
        </w:rPr>
        <w:t>f) 选取最后30min 的温度数据计算标准样块的实测升温速率</w:t>
      </w:r>
      <w:r>
        <w:rPr>
          <w:rFonts w:hint="eastAsia"/>
          <w:i/>
          <w:iCs/>
          <w:sz w:val="24"/>
        </w:rPr>
        <w:t>v</w:t>
      </w:r>
      <w:r>
        <w:rPr>
          <w:rFonts w:hint="eastAsia"/>
          <w:i/>
          <w:iCs/>
          <w:sz w:val="24"/>
          <w:vertAlign w:val="subscript"/>
        </w:rPr>
        <w:t>m</w:t>
      </w:r>
      <w:r>
        <w:rPr>
          <w:rFonts w:hint="eastAsia"/>
          <w:sz w:val="24"/>
        </w:rPr>
        <w:t>，</w:t>
      </w:r>
      <w:r>
        <w:rPr>
          <w:sz w:val="24"/>
        </w:rPr>
        <w:t>并记录该段时间内的电压平均值</w:t>
      </w:r>
      <w:r>
        <w:rPr>
          <w:i/>
          <w:iCs/>
          <w:sz w:val="24"/>
        </w:rPr>
        <w:t>U</w:t>
      </w:r>
      <w:r>
        <w:rPr>
          <w:i/>
          <w:iCs/>
          <w:sz w:val="24"/>
          <w:vertAlign w:val="subscript"/>
        </w:rPr>
        <w:t>m</w:t>
      </w:r>
      <w:r>
        <w:rPr>
          <w:sz w:val="24"/>
        </w:rPr>
        <w:t>与电流平均值</w:t>
      </w:r>
      <w:r>
        <w:rPr>
          <w:i/>
          <w:iCs/>
          <w:sz w:val="24"/>
        </w:rPr>
        <w:t>I</w:t>
      </w:r>
      <w:r>
        <w:rPr>
          <w:i/>
          <w:iCs/>
          <w:sz w:val="24"/>
          <w:vertAlign w:val="subscript"/>
        </w:rPr>
        <w:t>m</w:t>
      </w:r>
      <w:r>
        <w:rPr>
          <w:rFonts w:hint="eastAsia"/>
          <w:sz w:val="24"/>
        </w:rPr>
        <w:t>，</w:t>
      </w:r>
      <w:r>
        <w:rPr>
          <w:sz w:val="24"/>
        </w:rPr>
        <w:t>由同步记录的电压电流值可计算</w:t>
      </w:r>
      <w:r>
        <w:rPr>
          <w:rFonts w:hint="eastAsia"/>
          <w:sz w:val="24"/>
        </w:rPr>
        <w:t>标准样块理论升温速率</w:t>
      </w:r>
      <w:r>
        <w:rPr>
          <w:rFonts w:hint="eastAsia"/>
          <w:i/>
          <w:iCs/>
          <w:sz w:val="24"/>
        </w:rPr>
        <w:t>v</w:t>
      </w:r>
      <w:r>
        <w:rPr>
          <w:rFonts w:hint="eastAsia"/>
          <w:i/>
          <w:iCs/>
          <w:sz w:val="24"/>
          <w:vertAlign w:val="subscript"/>
        </w:rPr>
        <w:t>s</w:t>
      </w:r>
      <w:r>
        <w:rPr>
          <w:rFonts w:hint="eastAsia"/>
          <w:sz w:val="24"/>
        </w:rPr>
        <w:t>，实测升温速率</w:t>
      </w:r>
      <m:oMath>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ascii="Cambria Math" w:hAnsi="Cambria Math"/>
                <w:sz w:val="24"/>
              </w:rPr>
              <m:t>m</m:t>
            </m:r>
            <m:ctrlPr>
              <w:rPr>
                <w:rFonts w:ascii="Cambria Math" w:hAnsi="Cambria Math"/>
                <w:i/>
                <w:iCs/>
                <w:sz w:val="24"/>
              </w:rPr>
            </m:ctrlPr>
          </m:sub>
        </m:sSub>
      </m:oMath>
      <w:r>
        <w:rPr>
          <w:rFonts w:hint="eastAsia"/>
          <w:sz w:val="24"/>
        </w:rPr>
        <w:t>和理论升温速率</w:t>
      </w:r>
      <m:oMath>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ascii="Cambria Math" w:hAnsi="Cambria Math"/>
                <w:sz w:val="24"/>
              </w:rPr>
              <m:t>s</m:t>
            </m:r>
            <m:ctrlPr>
              <w:rPr>
                <w:rFonts w:ascii="Cambria Math" w:hAnsi="Cambria Math"/>
                <w:i/>
                <w:iCs/>
                <w:sz w:val="24"/>
              </w:rPr>
            </m:ctrlPr>
          </m:sub>
        </m:sSub>
      </m:oMath>
      <w:r>
        <w:rPr>
          <w:rFonts w:hint="eastAsia"/>
          <w:sz w:val="24"/>
        </w:rPr>
        <w:t>的偏差作为自放热检测灵敏度</w:t>
      </w:r>
      <m:oMath>
        <m:r>
          <m:rPr/>
          <w:rPr>
            <w:rFonts w:ascii="Cambria Math" w:hAnsi="Cambria Math"/>
            <w:sz w:val="24"/>
          </w:rPr>
          <m:t>ϵ</m:t>
        </m:r>
      </m:oMath>
      <w:r>
        <w:rPr>
          <w:rFonts w:hint="eastAsia"/>
          <w:sz w:val="24"/>
        </w:rPr>
        <w:t>的指标。</w:t>
      </w:r>
    </w:p>
    <w:p w14:paraId="003D05BF">
      <w:pPr>
        <w:snapToGrid w:val="0"/>
        <w:spacing w:line="360" w:lineRule="auto"/>
        <w:ind w:firstLine="420"/>
        <w:jc w:val="left"/>
        <w:rPr>
          <w:sz w:val="24"/>
        </w:rPr>
      </w:pPr>
      <w:r>
        <w:rPr>
          <w:rFonts w:hint="eastAsia"/>
          <w:sz w:val="24"/>
        </w:rPr>
        <w:t xml:space="preserve">                          </w:t>
      </w:r>
      <w:r>
        <w:rPr>
          <w:rFonts w:hint="eastAsia"/>
          <w:i/>
          <w:iCs/>
          <w:sz w:val="24"/>
        </w:rPr>
        <w:t xml:space="preserve"> </w:t>
      </w:r>
      <m:oMath>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ascii="Cambria Math" w:hAnsi="Cambria Math"/>
                <w:sz w:val="24"/>
              </w:rPr>
              <m:t>m</m:t>
            </m:r>
            <m:ctrlPr>
              <w:rPr>
                <w:rFonts w:ascii="Cambria Math" w:hAnsi="Cambria Math"/>
                <w:i/>
                <w:iCs/>
                <w:sz w:val="24"/>
              </w:rPr>
            </m:ctrlPr>
          </m:sub>
        </m:sSub>
        <m:r>
          <m:rPr/>
          <w:rPr>
            <w:rFonts w:ascii="Cambria Math" w:hAnsi="Cambria Math"/>
            <w:sz w:val="24"/>
          </w:rPr>
          <m:t>=</m:t>
        </m:r>
        <m:f>
          <m:fPr>
            <m:ctrlPr>
              <w:rPr>
                <w:rFonts w:hint="eastAsia" w:ascii="Cambria Math" w:hAnsi="Cambria Math"/>
                <w:i/>
                <w:iCs/>
                <w:sz w:val="24"/>
              </w:rPr>
            </m:ctrlPr>
          </m:fPr>
          <m:num>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ascii="Cambria Math" w:hAnsi="Cambria Math"/>
                    <w:sz w:val="24"/>
                  </w:rPr>
                  <m:t>f</m:t>
                </m:r>
                <m:ctrlPr>
                  <w:rPr>
                    <w:rFonts w:ascii="Cambria Math" w:hAnsi="Cambria Math"/>
                    <w:i/>
                    <w:iCs/>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ascii="Cambria Math" w:hAnsi="Cambria Math"/>
                    <w:sz w:val="24"/>
                  </w:rPr>
                  <m:t>0</m:t>
                </m:r>
                <m:ctrlPr>
                  <w:rPr>
                    <w:rFonts w:ascii="Cambria Math" w:hAnsi="Cambria Math"/>
                    <w:i/>
                    <w:iCs/>
                    <w:sz w:val="24"/>
                  </w:rPr>
                </m:ctrlPr>
              </m:sub>
            </m:sSub>
            <m:ctrlPr>
              <w:rPr>
                <w:rFonts w:hint="eastAsia" w:ascii="Cambria Math" w:hAnsi="Cambria Math"/>
                <w:i/>
                <w:iCs/>
                <w:sz w:val="24"/>
              </w:rPr>
            </m:ctrlPr>
          </m:num>
          <m:den>
            <m:r>
              <m:rPr/>
              <w:rPr>
                <w:rFonts w:ascii="Cambria Math" w:hAnsi="Cambria Math"/>
                <w:sz w:val="24"/>
              </w:rPr>
              <m:t>30</m:t>
            </m:r>
            <m:ctrlPr>
              <w:rPr>
                <w:rFonts w:hint="eastAsia" w:ascii="Cambria Math" w:hAnsi="Cambria Math"/>
                <w:i/>
                <w:iCs/>
                <w:sz w:val="24"/>
              </w:rPr>
            </m:ctrlPr>
          </m:den>
        </m:f>
      </m:oMath>
      <w:r>
        <w:rPr>
          <w:rFonts w:hint="eastAsia"/>
          <w:i/>
          <w:iCs/>
          <w:sz w:val="24"/>
        </w:rPr>
        <w:t xml:space="preserve">               </w:t>
      </w:r>
      <w:r>
        <w:rPr>
          <w:rFonts w:hint="eastAsia"/>
          <w:sz w:val="24"/>
        </w:rPr>
        <w:t xml:space="preserve">  (1)</w:t>
      </w:r>
    </w:p>
    <w:p w14:paraId="69310441">
      <w:pPr>
        <w:snapToGrid w:val="0"/>
        <w:spacing w:line="360" w:lineRule="auto"/>
        <w:ind w:firstLine="420"/>
        <w:jc w:val="left"/>
        <w:rPr>
          <w:i/>
          <w:iCs/>
          <w:sz w:val="24"/>
        </w:rPr>
      </w:pPr>
      <w:r>
        <w:rPr>
          <w:rFonts w:hint="eastAsia"/>
          <w:i/>
          <w:iCs/>
          <w:sz w:val="24"/>
        </w:rPr>
        <w:t xml:space="preserve">                           </w:t>
      </w:r>
      <m:oMath>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ascii="Cambria Math" w:hAnsi="Cambria Math"/>
                <w:sz w:val="24"/>
              </w:rPr>
              <m:t>s</m:t>
            </m:r>
            <m:ctrlPr>
              <w:rPr>
                <w:rFonts w:ascii="Cambria Math" w:hAnsi="Cambria Math"/>
                <w:i/>
                <w:iCs/>
                <w:sz w:val="24"/>
              </w:rPr>
            </m:ctrlPr>
          </m:sub>
        </m:sSub>
        <m:r>
          <m:rPr/>
          <w:rPr>
            <w:rFonts w:ascii="Cambria Math" w:hAnsi="Cambria Math"/>
            <w:sz w:val="24"/>
          </w:rPr>
          <m:t>=</m:t>
        </m:r>
        <m:f>
          <m:fPr>
            <m:ctrlPr>
              <w:rPr>
                <w:rFonts w:hint="eastAsia" w:ascii="Cambria Math" w:hAnsi="Cambria Math"/>
                <w:i/>
                <w:iCs/>
                <w:sz w:val="24"/>
              </w:rPr>
            </m:ctrlPr>
          </m:fPr>
          <m:num>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hint="eastAsia" w:ascii="Cambria Math" w:hAnsi="Cambria Math"/>
                    <w:sz w:val="24"/>
                  </w:rPr>
                  <m:t>m</m:t>
                </m:r>
                <m:ctrlPr>
                  <w:rPr>
                    <w:rFonts w:ascii="Cambria Math" w:hAnsi="Cambria Math"/>
                    <w:i/>
                    <w:iCs/>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I</m:t>
                </m:r>
                <m:ctrlPr>
                  <w:rPr>
                    <w:rFonts w:ascii="Cambria Math" w:hAnsi="Cambria Math"/>
                    <w:i/>
                    <w:iCs/>
                    <w:sz w:val="24"/>
                  </w:rPr>
                </m:ctrlPr>
              </m:e>
              <m:sub>
                <m:r>
                  <m:rPr/>
                  <w:rPr>
                    <w:rFonts w:hint="eastAsia" w:ascii="Cambria Math" w:hAnsi="Cambria Math"/>
                    <w:sz w:val="24"/>
                  </w:rPr>
                  <m:t>m</m:t>
                </m:r>
                <m:ctrlPr>
                  <w:rPr>
                    <w:rFonts w:ascii="Cambria Math" w:hAnsi="Cambria Math"/>
                    <w:i/>
                    <w:iCs/>
                    <w:sz w:val="24"/>
                  </w:rPr>
                </m:ctrlPr>
              </m:sub>
            </m:sSub>
            <m:ctrlPr>
              <w:rPr>
                <w:rFonts w:hint="eastAsia" w:ascii="Cambria Math" w:hAnsi="Cambria Math"/>
                <w:i/>
                <w:iCs/>
                <w:sz w:val="24"/>
              </w:rPr>
            </m:ctrlPr>
          </m:num>
          <m:den>
            <m:sSub>
              <m:sSubPr>
                <m:ctrlPr>
                  <w:rPr>
                    <w:rFonts w:ascii="Cambria Math" w:hAnsi="Cambria Math"/>
                    <w:i/>
                    <w:iCs/>
                    <w:sz w:val="24"/>
                  </w:rPr>
                </m:ctrlPr>
              </m:sSubPr>
              <m:e>
                <m:r>
                  <m:rPr/>
                  <w:rPr>
                    <w:rFonts w:ascii="Cambria Math" w:hAnsi="Cambria Math"/>
                    <w:sz w:val="24"/>
                  </w:rPr>
                  <m:t>C</m:t>
                </m:r>
                <m:ctrlPr>
                  <w:rPr>
                    <w:rFonts w:ascii="Cambria Math" w:hAnsi="Cambria Math"/>
                    <w:i/>
                    <w:iCs/>
                    <w:sz w:val="24"/>
                  </w:rPr>
                </m:ctrlPr>
              </m:e>
              <m:sub>
                <m:r>
                  <m:rPr/>
                  <w:rPr>
                    <w:rFonts w:hint="eastAsia" w:ascii="Cambria Math" w:hAnsi="Cambria Math"/>
                    <w:sz w:val="24"/>
                  </w:rPr>
                  <m:t>p</m:t>
                </m:r>
                <m:ctrlPr>
                  <w:rPr>
                    <w:rFonts w:ascii="Cambria Math" w:hAnsi="Cambria Math"/>
                    <w:i/>
                    <w:iCs/>
                    <w:sz w:val="24"/>
                  </w:rPr>
                </m:ctrlPr>
              </m:sub>
            </m:sSub>
            <m:r>
              <m:rPr/>
              <w:rPr>
                <w:rFonts w:ascii="Cambria Math" w:hAnsi="Cambria Math"/>
                <w:sz w:val="24"/>
              </w:rPr>
              <m:t>∗</m:t>
            </m:r>
            <m:r>
              <m:rPr/>
              <w:rPr>
                <w:rFonts w:hint="eastAsia" w:ascii="Cambria Math" w:hAnsi="Cambria Math"/>
                <w:sz w:val="24"/>
              </w:rPr>
              <m:t>m</m:t>
            </m:r>
            <m:ctrlPr>
              <w:rPr>
                <w:rFonts w:hint="eastAsia" w:ascii="Cambria Math" w:hAnsi="Cambria Math"/>
                <w:i/>
                <w:iCs/>
                <w:sz w:val="24"/>
              </w:rPr>
            </m:ctrlPr>
          </m:den>
        </m:f>
        <m:r>
          <m:rPr/>
          <w:rPr>
            <w:rFonts w:ascii="Cambria Math" w:hAnsi="Cambria Math"/>
            <w:sz w:val="24"/>
          </w:rPr>
          <m:t>∗60</m:t>
        </m:r>
      </m:oMath>
      <w:r>
        <w:rPr>
          <w:rFonts w:hint="eastAsia"/>
          <w:i/>
          <w:iCs/>
          <w:sz w:val="24"/>
        </w:rPr>
        <w:t xml:space="preserve">           </w:t>
      </w:r>
      <w:r>
        <w:rPr>
          <w:rFonts w:hint="eastAsia"/>
          <w:sz w:val="24"/>
        </w:rPr>
        <w:t xml:space="preserve">  (2)</w:t>
      </w:r>
    </w:p>
    <w:p w14:paraId="1F3A004B">
      <w:pPr>
        <w:snapToGrid w:val="0"/>
        <w:spacing w:line="360" w:lineRule="auto"/>
        <w:ind w:firstLine="420"/>
        <w:jc w:val="left"/>
        <w:rPr>
          <w:i/>
          <w:iCs/>
          <w:sz w:val="24"/>
        </w:rPr>
      </w:pPr>
      <w:r>
        <w:rPr>
          <w:rFonts w:hint="eastAsia"/>
          <w:i/>
          <w:iCs/>
          <w:sz w:val="24"/>
        </w:rPr>
        <w:t xml:space="preserve">                           </w:t>
      </w:r>
      <m:oMath>
        <m:r>
          <m:rPr/>
          <w:rPr>
            <w:rFonts w:ascii="Cambria Math" w:hAnsi="Cambria Math"/>
            <w:sz w:val="24"/>
          </w:rPr>
          <m:t>ϵ=</m:t>
        </m:r>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ascii="Cambria Math" w:hAnsi="Cambria Math"/>
                <w:sz w:val="24"/>
              </w:rPr>
              <m:t>m</m:t>
            </m:r>
            <m:ctrlPr>
              <w:rPr>
                <w:rFonts w:ascii="Cambria Math" w:hAnsi="Cambria Math"/>
                <w:i/>
                <w:iCs/>
                <w:sz w:val="24"/>
              </w:rPr>
            </m:ctrlPr>
          </m:sub>
        </m:sSub>
        <m:r>
          <m:rPr/>
          <w:rPr>
            <w:rFonts w:ascii="Cambria Math" w:hAnsi="Cambria Math"/>
            <w:sz w:val="24"/>
          </w:rPr>
          <m:t>−</m:t>
        </m:r>
        <m:r>
          <m:rPr/>
          <w:rPr>
            <w:rFonts w:hint="eastAsia" w:ascii="Cambria Math" w:hAnsi="Cambria Math"/>
            <w:sz w:val="24"/>
          </w:rPr>
          <m:t xml:space="preserve"> </m:t>
        </m:r>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ascii="Cambria Math" w:hAnsi="Cambria Math"/>
                <w:sz w:val="24"/>
              </w:rPr>
              <m:t>s</m:t>
            </m:r>
            <m:ctrlPr>
              <w:rPr>
                <w:rFonts w:ascii="Cambria Math" w:hAnsi="Cambria Math"/>
                <w:i/>
                <w:iCs/>
                <w:sz w:val="24"/>
              </w:rPr>
            </m:ctrlPr>
          </m:sub>
        </m:sSub>
      </m:oMath>
      <w:r>
        <w:rPr>
          <w:rFonts w:hint="eastAsia"/>
          <w:i/>
          <w:iCs/>
          <w:sz w:val="24"/>
        </w:rPr>
        <w:t xml:space="preserve">               </w:t>
      </w:r>
      <w:r>
        <w:rPr>
          <w:rFonts w:hint="eastAsia"/>
          <w:sz w:val="24"/>
        </w:rPr>
        <w:t>(3)</w:t>
      </w:r>
    </w:p>
    <w:p w14:paraId="0033C564">
      <w:pPr>
        <w:snapToGrid w:val="0"/>
        <w:spacing w:line="360" w:lineRule="auto"/>
        <w:ind w:firstLine="480" w:firstLineChars="200"/>
        <w:jc w:val="left"/>
        <w:rPr>
          <w:sz w:val="24"/>
        </w:rPr>
      </w:pPr>
      <w:r>
        <w:rPr>
          <w:rFonts w:hint="eastAsia"/>
          <w:sz w:val="24"/>
        </w:rPr>
        <w:t>式中：</w:t>
      </w:r>
    </w:p>
    <w:p w14:paraId="15627191">
      <w:pPr>
        <w:snapToGrid w:val="0"/>
        <w:spacing w:line="360" w:lineRule="auto"/>
        <w:ind w:left="420" w:firstLine="480" w:firstLineChars="200"/>
        <w:jc w:val="left"/>
        <w:rPr>
          <w:sz w:val="24"/>
        </w:rPr>
      </w:pPr>
      <m:oMath>
        <m:r>
          <m:rPr/>
          <w:rPr>
            <w:rFonts w:ascii="Cambria Math" w:hAnsi="Cambria Math"/>
            <w:sz w:val="24"/>
          </w:rPr>
          <m:t>ϵ</m:t>
        </m:r>
      </m:oMath>
      <w:r>
        <w:rPr>
          <w:sz w:val="24"/>
        </w:rPr>
        <w:t>—</w:t>
      </w:r>
      <w:r>
        <w:rPr>
          <w:rFonts w:asciiTheme="minorEastAsia" w:hAnsiTheme="minorEastAsia" w:eastAsiaTheme="minorEastAsia"/>
          <w:b/>
          <w:sz w:val="24"/>
        </w:rPr>
        <w:t>—</w:t>
      </w:r>
      <w:r>
        <w:rPr>
          <w:rStyle w:val="27"/>
          <w:rFonts w:asciiTheme="minorEastAsia" w:hAnsiTheme="minorEastAsia" w:eastAsiaTheme="minorEastAsia"/>
          <w:b w:val="0"/>
          <w:sz w:val="24"/>
        </w:rPr>
        <w:t>自放热</w:t>
      </w:r>
      <w:r>
        <w:rPr>
          <w:rStyle w:val="27"/>
          <w:rFonts w:hint="eastAsia" w:asciiTheme="minorEastAsia" w:hAnsiTheme="minorEastAsia" w:eastAsiaTheme="minorEastAsia"/>
          <w:b w:val="0"/>
          <w:sz w:val="24"/>
        </w:rPr>
        <w:t>检测灵敏度</w:t>
      </w:r>
      <w:r>
        <w:rPr>
          <w:rFonts w:asciiTheme="minorEastAsia" w:hAnsiTheme="minorEastAsia" w:eastAsiaTheme="minorEastAsia"/>
          <w:b/>
          <w:sz w:val="24"/>
        </w:rPr>
        <w:t>，</w:t>
      </w:r>
      <w:r>
        <w:rPr>
          <w:rFonts w:asciiTheme="minorEastAsia" w:hAnsiTheme="minorEastAsia" w:eastAsiaTheme="minorEastAsia"/>
          <w:sz w:val="24"/>
        </w:rPr>
        <w:t>℃</w:t>
      </w:r>
      <w:r>
        <w:rPr>
          <w:rFonts w:hint="eastAsia" w:asciiTheme="minorEastAsia" w:hAnsiTheme="minorEastAsia" w:eastAsiaTheme="minorEastAsia"/>
          <w:sz w:val="24"/>
        </w:rPr>
        <w:t>/m</w:t>
      </w:r>
      <w:r>
        <w:rPr>
          <w:rFonts w:hint="eastAsia"/>
          <w:sz w:val="24"/>
        </w:rPr>
        <w:t>in</w:t>
      </w:r>
      <w:r>
        <w:rPr>
          <w:sz w:val="24"/>
        </w:rPr>
        <w:t>；</w:t>
      </w:r>
    </w:p>
    <w:p w14:paraId="03C06F70">
      <w:pPr>
        <w:snapToGrid w:val="0"/>
        <w:spacing w:line="360" w:lineRule="auto"/>
        <w:ind w:left="840"/>
        <w:jc w:val="left"/>
        <w:rPr>
          <w:sz w:val="24"/>
        </w:rPr>
      </w:pPr>
      <m:oMath>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ascii="Cambria Math" w:hAnsi="Cambria Math"/>
                <w:sz w:val="24"/>
              </w:rPr>
              <m:t>0</m:t>
            </m:r>
            <m:ctrlPr>
              <w:rPr>
                <w:rFonts w:ascii="Cambria Math" w:hAnsi="Cambria Math"/>
                <w:i/>
                <w:iCs/>
                <w:sz w:val="24"/>
              </w:rPr>
            </m:ctrlPr>
          </m:sub>
        </m:sSub>
      </m:oMath>
      <w:r>
        <w:rPr>
          <w:sz w:val="24"/>
        </w:rPr>
        <w:t>——</w:t>
      </w:r>
      <w:r>
        <w:rPr>
          <w:rFonts w:hint="eastAsia"/>
          <w:sz w:val="24"/>
        </w:rPr>
        <w:t>计算区间内样品初始温度</w:t>
      </w:r>
      <w:r>
        <w:rPr>
          <w:sz w:val="24"/>
        </w:rPr>
        <w:t>，℃；</w:t>
      </w:r>
    </w:p>
    <w:p w14:paraId="12C9ED8D">
      <w:pPr>
        <w:snapToGrid w:val="0"/>
        <w:spacing w:line="360" w:lineRule="auto"/>
        <w:ind w:left="420" w:firstLine="480" w:firstLineChars="200"/>
        <w:jc w:val="left"/>
        <w:rPr>
          <w:sz w:val="24"/>
        </w:rPr>
      </w:pPr>
      <m:oMath>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ascii="Cambria Math" w:hAnsi="Cambria Math"/>
                <w:sz w:val="24"/>
              </w:rPr>
              <m:t>f</m:t>
            </m:r>
            <m:ctrlPr>
              <w:rPr>
                <w:rFonts w:ascii="Cambria Math" w:hAnsi="Cambria Math"/>
                <w:i/>
                <w:iCs/>
                <w:sz w:val="24"/>
              </w:rPr>
            </m:ctrlPr>
          </m:sub>
        </m:sSub>
      </m:oMath>
      <w:r>
        <w:rPr>
          <w:sz w:val="24"/>
        </w:rPr>
        <w:t>——</w:t>
      </w:r>
      <w:r>
        <w:rPr>
          <w:rFonts w:hint="eastAsia"/>
          <w:sz w:val="24"/>
        </w:rPr>
        <w:t>计算区间内样品结束温度</w:t>
      </w:r>
      <w:r>
        <w:rPr>
          <w:sz w:val="24"/>
        </w:rPr>
        <w:t>，℃；</w:t>
      </w:r>
    </w:p>
    <w:p w14:paraId="620B9ABF">
      <w:pPr>
        <w:snapToGrid w:val="0"/>
        <w:spacing w:line="360" w:lineRule="auto"/>
        <w:ind w:left="420" w:firstLine="480" w:firstLineChars="200"/>
        <w:jc w:val="left"/>
        <w:rPr>
          <w:sz w:val="24"/>
        </w:rPr>
      </w:pPr>
      <m:oMath>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hint="eastAsia" w:ascii="Cambria Math" w:hAnsi="Cambria Math"/>
                <w:sz w:val="24"/>
              </w:rPr>
              <m:t>m</m:t>
            </m:r>
            <m:ctrlPr>
              <w:rPr>
                <w:rFonts w:ascii="Cambria Math" w:hAnsi="Cambria Math"/>
                <w:i/>
                <w:iCs/>
                <w:sz w:val="24"/>
              </w:rPr>
            </m:ctrlPr>
          </m:sub>
        </m:sSub>
      </m:oMath>
      <w:r>
        <w:rPr>
          <w:sz w:val="24"/>
        </w:rPr>
        <w:t>——</w:t>
      </w:r>
      <w:r>
        <w:rPr>
          <w:rFonts w:hint="eastAsia"/>
          <w:sz w:val="24"/>
        </w:rPr>
        <w:t>计算区间内输出</w:t>
      </w:r>
      <w:r>
        <w:rPr>
          <w:sz w:val="24"/>
        </w:rPr>
        <w:t>电压平均值，</w:t>
      </w:r>
      <w:r>
        <w:rPr>
          <w:rFonts w:hint="eastAsia"/>
          <w:sz w:val="24"/>
        </w:rPr>
        <w:t>V；</w:t>
      </w:r>
    </w:p>
    <w:p w14:paraId="21BF0E8A">
      <w:pPr>
        <w:snapToGrid w:val="0"/>
        <w:spacing w:line="360" w:lineRule="auto"/>
        <w:ind w:left="420" w:firstLine="480" w:firstLineChars="200"/>
        <w:jc w:val="left"/>
        <w:rPr>
          <w:sz w:val="24"/>
        </w:rPr>
      </w:pPr>
      <m:oMath>
        <m:sSub>
          <m:sSubPr>
            <m:ctrlPr>
              <w:rPr>
                <w:rFonts w:ascii="Cambria Math" w:hAnsi="Cambria Math"/>
                <w:i/>
                <w:iCs/>
                <w:sz w:val="24"/>
              </w:rPr>
            </m:ctrlPr>
          </m:sSubPr>
          <m:e>
            <m:r>
              <m:rPr/>
              <w:rPr>
                <w:rFonts w:ascii="Cambria Math" w:hAnsi="Cambria Math"/>
                <w:sz w:val="24"/>
              </w:rPr>
              <m:t>I</m:t>
            </m:r>
            <m:ctrlPr>
              <w:rPr>
                <w:rFonts w:ascii="Cambria Math" w:hAnsi="Cambria Math"/>
                <w:i/>
                <w:iCs/>
                <w:sz w:val="24"/>
              </w:rPr>
            </m:ctrlPr>
          </m:e>
          <m:sub>
            <m:r>
              <m:rPr/>
              <w:rPr>
                <w:rFonts w:hint="eastAsia" w:ascii="Cambria Math" w:hAnsi="Cambria Math"/>
                <w:sz w:val="24"/>
              </w:rPr>
              <m:t>m</m:t>
            </m:r>
            <m:ctrlPr>
              <w:rPr>
                <w:rFonts w:ascii="Cambria Math" w:hAnsi="Cambria Math"/>
                <w:i/>
                <w:iCs/>
                <w:sz w:val="24"/>
              </w:rPr>
            </m:ctrlPr>
          </m:sub>
        </m:sSub>
      </m:oMath>
      <w:r>
        <w:rPr>
          <w:sz w:val="24"/>
        </w:rPr>
        <w:t>——</w:t>
      </w:r>
      <w:r>
        <w:rPr>
          <w:rFonts w:hint="eastAsia"/>
          <w:sz w:val="24"/>
        </w:rPr>
        <w:t>计算区间内输出电流</w:t>
      </w:r>
      <w:r>
        <w:rPr>
          <w:sz w:val="24"/>
        </w:rPr>
        <w:t>平均值，</w:t>
      </w:r>
      <w:r>
        <w:rPr>
          <w:rFonts w:hint="eastAsia"/>
          <w:sz w:val="24"/>
        </w:rPr>
        <w:t>A；</w:t>
      </w:r>
    </w:p>
    <w:p w14:paraId="0A65D8BF">
      <w:pPr>
        <w:snapToGrid w:val="0"/>
        <w:spacing w:line="360" w:lineRule="auto"/>
        <w:ind w:left="420" w:firstLine="480" w:firstLineChars="200"/>
        <w:jc w:val="left"/>
        <w:rPr>
          <w:sz w:val="24"/>
        </w:rPr>
      </w:pPr>
      <m:oMath>
        <m:sSub>
          <m:sSubPr>
            <m:ctrlPr>
              <w:rPr>
                <w:rFonts w:ascii="Cambria Math" w:hAnsi="Cambria Math"/>
                <w:i/>
                <w:iCs/>
                <w:sz w:val="24"/>
              </w:rPr>
            </m:ctrlPr>
          </m:sSubPr>
          <m:e>
            <m:r>
              <m:rPr/>
              <w:rPr>
                <w:rFonts w:ascii="Cambria Math" w:hAnsi="Cambria Math"/>
                <w:sz w:val="24"/>
              </w:rPr>
              <m:t>C</m:t>
            </m:r>
            <m:ctrlPr>
              <w:rPr>
                <w:rFonts w:ascii="Cambria Math" w:hAnsi="Cambria Math"/>
                <w:i/>
                <w:iCs/>
                <w:sz w:val="24"/>
              </w:rPr>
            </m:ctrlPr>
          </m:e>
          <m:sub>
            <m:r>
              <m:rPr/>
              <w:rPr>
                <w:rFonts w:hint="eastAsia" w:ascii="Cambria Math" w:hAnsi="Cambria Math"/>
                <w:sz w:val="24"/>
              </w:rPr>
              <m:t>p</m:t>
            </m:r>
            <m:ctrlPr>
              <w:rPr>
                <w:rFonts w:ascii="Cambria Math" w:hAnsi="Cambria Math"/>
                <w:i/>
                <w:iCs/>
                <w:sz w:val="24"/>
              </w:rPr>
            </m:ctrlPr>
          </m:sub>
        </m:sSub>
      </m:oMath>
      <w:r>
        <w:rPr>
          <w:sz w:val="24"/>
        </w:rPr>
        <w:t>——</w:t>
      </w:r>
      <w:r>
        <w:rPr>
          <w:rFonts w:hint="eastAsia"/>
          <w:sz w:val="24"/>
        </w:rPr>
        <w:t>标准样块比热容</w:t>
      </w:r>
      <w:r>
        <w:rPr>
          <w:sz w:val="24"/>
        </w:rPr>
        <w:t>，J/(kg·℃)</w:t>
      </w:r>
      <w:r>
        <w:rPr>
          <w:rFonts w:hint="eastAsia"/>
          <w:sz w:val="24"/>
        </w:rPr>
        <w:t>；</w:t>
      </w:r>
    </w:p>
    <w:p w14:paraId="25C5A085">
      <w:pPr>
        <w:snapToGrid w:val="0"/>
        <w:spacing w:line="360" w:lineRule="auto"/>
        <w:ind w:left="420" w:firstLine="480" w:firstLineChars="200"/>
        <w:jc w:val="left"/>
        <w:rPr>
          <w:sz w:val="24"/>
        </w:rPr>
      </w:pPr>
      <m:oMath>
        <m:r>
          <m:rPr/>
          <w:rPr>
            <w:rFonts w:hint="eastAsia" w:ascii="Cambria Math" w:hAnsi="Cambria Math"/>
            <w:sz w:val="24"/>
          </w:rPr>
          <m:t>m</m:t>
        </m:r>
      </m:oMath>
      <w:r>
        <w:rPr>
          <w:sz w:val="24"/>
        </w:rPr>
        <w:t>——</w:t>
      </w:r>
      <w:r>
        <w:rPr>
          <w:rFonts w:hint="eastAsia"/>
          <w:sz w:val="24"/>
        </w:rPr>
        <w:t>标准样块质量</w:t>
      </w:r>
      <w:r>
        <w:rPr>
          <w:sz w:val="24"/>
        </w:rPr>
        <w:t>，</w:t>
      </w:r>
      <w:r>
        <w:rPr>
          <w:rFonts w:hint="eastAsia"/>
          <w:sz w:val="24"/>
        </w:rPr>
        <w:t>kg。</w:t>
      </w:r>
    </w:p>
    <w:p w14:paraId="1C2E0BDD">
      <w:pPr>
        <w:snapToGrid w:val="0"/>
        <w:spacing w:line="360" w:lineRule="auto"/>
        <w:ind w:firstLine="480" w:firstLineChars="200"/>
        <w:jc w:val="left"/>
        <w:rPr>
          <w:sz w:val="24"/>
        </w:rPr>
      </w:pPr>
      <w:r>
        <w:rPr>
          <w:rFonts w:hint="eastAsia"/>
          <w:sz w:val="24"/>
        </w:rPr>
        <w:t>f</w:t>
      </w:r>
      <w:r>
        <w:rPr>
          <w:sz w:val="24"/>
        </w:rPr>
        <w:t xml:space="preserve">) </w:t>
      </w:r>
      <w:r>
        <w:rPr>
          <w:rFonts w:hint="eastAsia"/>
          <w:sz w:val="24"/>
        </w:rPr>
        <w:t>设置恒温温度为100℃</w:t>
      </w:r>
      <w:r>
        <w:rPr>
          <w:sz w:val="24"/>
        </w:rPr>
        <w:t>，</w:t>
      </w:r>
      <w:bookmarkStart w:id="69" w:name="_Hlk90372027"/>
      <w:r>
        <w:rPr>
          <w:sz w:val="24"/>
        </w:rPr>
        <w:t>重复上述方法</w:t>
      </w:r>
      <w:bookmarkEnd w:id="69"/>
      <w:r>
        <w:rPr>
          <w:rFonts w:hint="eastAsia"/>
          <w:sz w:val="24"/>
        </w:rPr>
        <w:t>。</w:t>
      </w:r>
    </w:p>
    <w:p w14:paraId="18E0AA81">
      <w:pPr>
        <w:pStyle w:val="38"/>
        <w:numPr>
          <w:ilvl w:val="2"/>
          <w:numId w:val="1"/>
        </w:numPr>
        <w:autoSpaceDE w:val="0"/>
        <w:autoSpaceDN w:val="0"/>
        <w:adjustRightInd w:val="0"/>
        <w:spacing w:beforeLines="100" w:line="360" w:lineRule="auto"/>
        <w:ind w:firstLineChars="0"/>
        <w:rPr>
          <w:rStyle w:val="27"/>
          <w:rFonts w:asciiTheme="minorEastAsia" w:hAnsiTheme="minorEastAsia" w:eastAsiaTheme="minorEastAsia"/>
          <w:b w:val="0"/>
          <w:sz w:val="24"/>
        </w:rPr>
      </w:pPr>
      <w:bookmarkStart w:id="70" w:name="_Toc184839120"/>
      <w:bookmarkStart w:id="71" w:name="_Toc184838688"/>
      <w:r>
        <w:rPr>
          <w:rStyle w:val="27"/>
          <w:rFonts w:hint="eastAsia" w:asciiTheme="minorEastAsia" w:hAnsiTheme="minorEastAsia" w:eastAsiaTheme="minorEastAsia"/>
          <w:b w:val="0"/>
          <w:sz w:val="24"/>
        </w:rPr>
        <w:t>电池充放电产热量相对误差</w:t>
      </w:r>
    </w:p>
    <w:p w14:paraId="40C6A804">
      <w:pPr>
        <w:autoSpaceDE w:val="0"/>
        <w:autoSpaceDN w:val="0"/>
        <w:adjustRightInd w:val="0"/>
        <w:spacing w:beforeLines="50" w:line="360" w:lineRule="auto"/>
        <w:ind w:firstLine="480" w:firstLineChars="200"/>
        <w:rPr>
          <w:rStyle w:val="27"/>
          <w:rFonts w:ascii="Times New Roman" w:hAnsi="Times New Roman" w:eastAsiaTheme="minorEastAsia"/>
          <w:b w:val="0"/>
          <w:sz w:val="24"/>
        </w:rPr>
      </w:pPr>
      <w:r>
        <w:rPr>
          <w:rStyle w:val="27"/>
          <w:rFonts w:ascii="Times New Roman" w:hAnsi="Times New Roman" w:eastAsiaTheme="minorEastAsia"/>
          <w:b w:val="0"/>
          <w:sz w:val="24"/>
        </w:rPr>
        <w:t>a)</w:t>
      </w:r>
      <w:r>
        <w:rPr>
          <w:rStyle w:val="27"/>
          <w:rFonts w:ascii="Times New Roman" w:hAnsiTheme="minorEastAsia" w:eastAsiaTheme="minorEastAsia"/>
          <w:b w:val="0"/>
          <w:sz w:val="24"/>
        </w:rPr>
        <w:t>按</w:t>
      </w:r>
      <w:r>
        <w:rPr>
          <w:rStyle w:val="27"/>
          <w:rFonts w:ascii="Times New Roman" w:hAnsi="Times New Roman" w:eastAsiaTheme="minorEastAsia"/>
          <w:b w:val="0"/>
          <w:sz w:val="24"/>
        </w:rPr>
        <w:t>7.2.2</w:t>
      </w:r>
      <w:r>
        <w:rPr>
          <w:rStyle w:val="27"/>
          <w:rFonts w:ascii="Times New Roman" w:hAnsiTheme="minorEastAsia" w:eastAsiaTheme="minorEastAsia"/>
          <w:b w:val="0"/>
          <w:sz w:val="24"/>
        </w:rPr>
        <w:t>步骤</w:t>
      </w:r>
      <w:r>
        <w:rPr>
          <w:rStyle w:val="27"/>
          <w:rFonts w:ascii="Times New Roman" w:hAnsi="Times New Roman" w:eastAsiaTheme="minorEastAsia"/>
          <w:b w:val="0"/>
          <w:sz w:val="24"/>
        </w:rPr>
        <w:t>a-c</w:t>
      </w:r>
      <w:r>
        <w:rPr>
          <w:rStyle w:val="27"/>
          <w:rFonts w:ascii="Times New Roman" w:hAnsiTheme="minorEastAsia" w:eastAsiaTheme="minorEastAsia"/>
          <w:b w:val="0"/>
          <w:sz w:val="24"/>
        </w:rPr>
        <w:t>执行标准样块安装与标准直流电源或电压电流表连接步骤。</w:t>
      </w:r>
    </w:p>
    <w:p w14:paraId="6F7ABD7F">
      <w:pPr>
        <w:tabs>
          <w:tab w:val="left" w:pos="540"/>
        </w:tabs>
        <w:autoSpaceDE w:val="0"/>
        <w:autoSpaceDN w:val="0"/>
        <w:adjustRightInd w:val="0"/>
        <w:spacing w:line="360" w:lineRule="auto"/>
        <w:ind w:firstLine="480" w:firstLineChars="200"/>
        <w:rPr>
          <w:sz w:val="24"/>
        </w:rPr>
      </w:pPr>
      <w:r>
        <w:rPr>
          <w:rStyle w:val="27"/>
          <w:rFonts w:ascii="Times New Roman" w:hAnsi="Times New Roman" w:eastAsiaTheme="minorEastAsia"/>
          <w:b w:val="0"/>
          <w:sz w:val="24"/>
        </w:rPr>
        <w:t>b)</w:t>
      </w:r>
      <w:r>
        <w:rPr>
          <w:sz w:val="24"/>
        </w:rPr>
        <w:t>启动被校</w:t>
      </w:r>
      <w:r>
        <w:rPr>
          <w:rFonts w:hint="eastAsia"/>
          <w:sz w:val="24"/>
        </w:rPr>
        <w:t>锂离子电池电芯热参数测试仪，设置充放电产热模式或其他绝热追踪模式，设置恒温温度为35</w:t>
      </w:r>
      <w:r>
        <w:rPr>
          <w:rFonts w:hint="eastAsia"/>
          <w:sz w:val="24"/>
          <w:vertAlign w:val="superscript"/>
        </w:rPr>
        <w:t>o</w:t>
      </w:r>
      <w:r>
        <w:rPr>
          <w:rFonts w:hint="eastAsia"/>
          <w:sz w:val="24"/>
        </w:rPr>
        <w:t>C，恒温结束</w:t>
      </w:r>
      <w:r>
        <w:rPr>
          <w:sz w:val="24"/>
        </w:rPr>
        <w:t>后，</w:t>
      </w:r>
      <w:r>
        <w:rPr>
          <w:rFonts w:hint="eastAsia"/>
          <w:sz w:val="24"/>
        </w:rPr>
        <w:t>在绝热追踪模式下</w:t>
      </w:r>
      <w:r>
        <w:rPr>
          <w:sz w:val="24"/>
        </w:rPr>
        <w:t>设定标准直流电源为恒流输出模式，根据</w:t>
      </w:r>
      <w:r>
        <w:rPr>
          <w:rFonts w:hint="eastAsia"/>
          <w:sz w:val="24"/>
        </w:rPr>
        <w:t>标准样</w:t>
      </w:r>
      <w:r>
        <w:rPr>
          <w:sz w:val="24"/>
        </w:rPr>
        <w:t>块的阻值，设定合适的输出电流值，</w:t>
      </w:r>
      <w:r>
        <w:rPr>
          <w:rFonts w:hint="eastAsia"/>
          <w:sz w:val="24"/>
        </w:rPr>
        <w:t>使得标准样块的预期升温速率为1.0</w:t>
      </w:r>
      <w:r>
        <w:rPr>
          <w:rFonts w:hint="eastAsia"/>
          <w:sz w:val="24"/>
          <w:vertAlign w:val="superscript"/>
        </w:rPr>
        <w:t>o</w:t>
      </w:r>
      <w:r>
        <w:rPr>
          <w:rFonts w:hint="eastAsia"/>
          <w:sz w:val="24"/>
        </w:rPr>
        <w:t>C/min</w:t>
      </w:r>
      <w:r>
        <w:rPr>
          <w:sz w:val="24"/>
        </w:rPr>
        <w:t>。同时，以不低于1 Hz的采样频率，同步记录</w:t>
      </w:r>
      <w:r>
        <w:rPr>
          <w:rFonts w:hint="eastAsia"/>
          <w:sz w:val="24"/>
        </w:rPr>
        <w:t>标准样块表面温度，以及</w:t>
      </w:r>
      <w:r>
        <w:rPr>
          <w:sz w:val="24"/>
        </w:rPr>
        <w:t>标准直流电源回读电压与电流值或者由数字电压表与直流电流表同步记录</w:t>
      </w:r>
      <w:r>
        <w:rPr>
          <w:rFonts w:hint="eastAsia"/>
          <w:sz w:val="24"/>
        </w:rPr>
        <w:t>的</w:t>
      </w:r>
      <w:r>
        <w:rPr>
          <w:sz w:val="24"/>
        </w:rPr>
        <w:t>电压电流值。</w:t>
      </w:r>
    </w:p>
    <w:p w14:paraId="7A91896A">
      <w:pPr>
        <w:snapToGrid w:val="0"/>
        <w:spacing w:line="360" w:lineRule="auto"/>
        <w:ind w:firstLine="420"/>
        <w:jc w:val="left"/>
        <w:rPr>
          <w:sz w:val="24"/>
        </w:rPr>
      </w:pPr>
      <w:r>
        <w:rPr>
          <w:rFonts w:hint="eastAsia"/>
          <w:sz w:val="24"/>
        </w:rPr>
        <w:t xml:space="preserve">c) </w:t>
      </w:r>
      <w:r>
        <w:rPr>
          <w:sz w:val="24"/>
        </w:rPr>
        <w:t>标准直流电源开始输出恒定电流，同时记录</w:t>
      </w:r>
      <w:r>
        <w:rPr>
          <w:rFonts w:hint="eastAsia"/>
          <w:sz w:val="24"/>
        </w:rPr>
        <w:t>电子秒表</w:t>
      </w:r>
      <w:r>
        <w:rPr>
          <w:sz w:val="24"/>
        </w:rPr>
        <w:t>时间为</w:t>
      </w:r>
      <w:r>
        <w:rPr>
          <w:i/>
          <w:iCs/>
          <w:sz w:val="24"/>
        </w:rPr>
        <w:t>t</w:t>
      </w:r>
      <w:r>
        <w:rPr>
          <w:sz w:val="24"/>
          <w:vertAlign w:val="subscript"/>
        </w:rPr>
        <w:t>0</w:t>
      </w:r>
      <w:r>
        <w:rPr>
          <w:rFonts w:hint="eastAsia"/>
          <w:sz w:val="24"/>
        </w:rPr>
        <w:t>。</w:t>
      </w:r>
    </w:p>
    <w:p w14:paraId="36BE282C">
      <w:pPr>
        <w:snapToGrid w:val="0"/>
        <w:spacing w:line="360" w:lineRule="auto"/>
        <w:ind w:firstLine="420"/>
        <w:jc w:val="left"/>
        <w:rPr>
          <w:sz w:val="24"/>
        </w:rPr>
      </w:pPr>
      <w:r>
        <w:rPr>
          <w:rFonts w:hint="eastAsia"/>
          <w:sz w:val="24"/>
        </w:rPr>
        <w:t>d) 标准样块温度达到约65</w:t>
      </w:r>
      <w:r>
        <w:rPr>
          <w:rFonts w:hint="eastAsia"/>
          <w:sz w:val="24"/>
          <w:vertAlign w:val="superscript"/>
        </w:rPr>
        <w:t>o</w:t>
      </w:r>
      <w:r>
        <w:rPr>
          <w:rFonts w:hint="eastAsia"/>
          <w:sz w:val="24"/>
        </w:rPr>
        <w:t>C</w:t>
      </w:r>
      <w:r>
        <w:rPr>
          <w:sz w:val="24"/>
        </w:rPr>
        <w:t>，停止标准直流电源输出，同时记录</w:t>
      </w:r>
      <w:r>
        <w:rPr>
          <w:rFonts w:hint="eastAsia"/>
          <w:sz w:val="24"/>
        </w:rPr>
        <w:t>电子秒表</w:t>
      </w:r>
      <w:r>
        <w:rPr>
          <w:sz w:val="24"/>
        </w:rPr>
        <w:t>时间为</w:t>
      </w:r>
      <w:r>
        <w:rPr>
          <w:i/>
          <w:iCs/>
          <w:sz w:val="24"/>
        </w:rPr>
        <w:t>t</w:t>
      </w:r>
      <w:r>
        <w:rPr>
          <w:sz w:val="24"/>
          <w:vertAlign w:val="subscript"/>
        </w:rPr>
        <w:t>1</w:t>
      </w:r>
      <w:r>
        <w:rPr>
          <w:rFonts w:hint="eastAsia"/>
          <w:sz w:val="24"/>
        </w:rPr>
        <w:t>。</w:t>
      </w:r>
    </w:p>
    <w:p w14:paraId="084786B3">
      <w:pPr>
        <w:snapToGrid w:val="0"/>
        <w:spacing w:line="360" w:lineRule="auto"/>
        <w:ind w:firstLine="420"/>
        <w:jc w:val="left"/>
        <w:rPr>
          <w:sz w:val="24"/>
        </w:rPr>
      </w:pPr>
      <w:r>
        <w:rPr>
          <w:rFonts w:hint="eastAsia"/>
          <w:sz w:val="24"/>
        </w:rPr>
        <w:t>e) 根据标准样块升温曲线，仪器配套软件计算得到样品总产热量</w:t>
      </w:r>
      <w:r>
        <w:rPr>
          <w:i/>
          <w:iCs/>
          <w:sz w:val="24"/>
        </w:rPr>
        <w:t>Q</w:t>
      </w:r>
      <w:r>
        <w:rPr>
          <w:i/>
          <w:iCs/>
          <w:sz w:val="24"/>
          <w:vertAlign w:val="subscript"/>
        </w:rPr>
        <w:t>m</w:t>
      </w:r>
      <w:r>
        <w:rPr>
          <w:rFonts w:hint="eastAsia"/>
          <w:sz w:val="24"/>
        </w:rPr>
        <w:t>，比较标准直流电源输入标准样块的能量，可计算电池充放电产热量相对误差。</w:t>
      </w:r>
    </w:p>
    <w:p w14:paraId="44024AB7">
      <w:pPr>
        <w:pStyle w:val="39"/>
        <w:jc w:val="center"/>
        <w:rPr>
          <w:rFonts w:ascii="Times New Roman" w:hAnsi="Times New Roman"/>
        </w:rPr>
      </w:pPr>
      <m:oMath>
        <m:sSub>
          <m:sSubPr>
            <m:ctrlPr>
              <w:rPr>
                <w:rFonts w:ascii="Cambria Math" w:hAnsi="Times New Roman"/>
                <w:i/>
                <w:sz w:val="28"/>
              </w:rPr>
            </m:ctrlPr>
          </m:sSubPr>
          <m:e>
            <m:r>
              <m:rPr/>
              <w:rPr>
                <w:rFonts w:ascii="Cambria Math" w:hAnsi="Times New Roman"/>
                <w:sz w:val="28"/>
              </w:rPr>
              <m:t>r</m:t>
            </m:r>
            <m:ctrlPr>
              <w:rPr>
                <w:rFonts w:ascii="Cambria Math" w:hAnsi="Times New Roman"/>
                <w:i/>
                <w:sz w:val="28"/>
              </w:rPr>
            </m:ctrlPr>
          </m:e>
          <m:sub>
            <m:r>
              <m:rPr/>
              <w:rPr>
                <w:rFonts w:ascii="Cambria Math" w:hAnsi="Times New Roman"/>
                <w:sz w:val="28"/>
              </w:rPr>
              <m:t>Q</m:t>
            </m:r>
            <m:ctrlPr>
              <w:rPr>
                <w:rFonts w:ascii="Cambria Math" w:hAnsi="Times New Roman"/>
                <w:i/>
                <w:sz w:val="28"/>
              </w:rPr>
            </m:ctrlPr>
          </m:sub>
        </m:sSub>
        <m:r>
          <m:rPr/>
          <w:rPr>
            <w:rFonts w:ascii="Cambria Math" w:hAnsi="Times New Roman"/>
            <w:sz w:val="28"/>
          </w:rPr>
          <m:t>=</m:t>
        </m:r>
        <m:f>
          <m:fPr>
            <m:ctrlPr>
              <w:rPr>
                <w:rFonts w:ascii="Cambria Math" w:hAnsi="Times New Roman"/>
                <w:i/>
                <w:sz w:val="28"/>
              </w:rPr>
            </m:ctrlPr>
          </m:fPr>
          <m:num>
            <m:sSub>
              <m:sSubPr>
                <m:ctrlPr>
                  <w:rPr>
                    <w:rFonts w:ascii="Cambria Math" w:hAnsi="Times New Roman"/>
                    <w:i/>
                    <w:sz w:val="28"/>
                  </w:rPr>
                </m:ctrlPr>
              </m:sSubPr>
              <m:e>
                <m:r>
                  <m:rPr/>
                  <w:rPr>
                    <w:rFonts w:ascii="Cambria Math" w:hAnsi="Times New Roman"/>
                    <w:sz w:val="28"/>
                  </w:rPr>
                  <m:t>Q</m:t>
                </m:r>
                <m:ctrlPr>
                  <w:rPr>
                    <w:rFonts w:ascii="Cambria Math" w:hAnsi="Times New Roman"/>
                    <w:i/>
                    <w:sz w:val="28"/>
                  </w:rPr>
                </m:ctrlPr>
              </m:e>
              <m:sub>
                <m:r>
                  <m:rPr/>
                  <w:rPr>
                    <w:rFonts w:ascii="Cambria Math" w:hAnsi="Times New Roman"/>
                    <w:sz w:val="28"/>
                  </w:rPr>
                  <m:t>m</m:t>
                </m:r>
                <m:ctrlPr>
                  <w:rPr>
                    <w:rFonts w:ascii="Cambria Math" w:hAnsi="Times New Roman"/>
                    <w:i/>
                    <w:sz w:val="28"/>
                  </w:rPr>
                </m:ctrlPr>
              </m:sub>
            </m:sSub>
            <m:r>
              <m:rPr/>
              <w:rPr>
                <w:rFonts w:ascii="Cambria Math" w:hAnsi="Times New Roman"/>
                <w:sz w:val="28"/>
              </w:rPr>
              <m:t>−</m:t>
            </m:r>
            <m:nary>
              <m:naryPr>
                <m:chr m:val="∑"/>
                <m:ctrlPr>
                  <w:rPr>
                    <w:rFonts w:ascii="Cambria Math" w:hAnsi="Times New Roman"/>
                    <w:i/>
                    <w:sz w:val="28"/>
                  </w:rPr>
                </m:ctrlPr>
              </m:naryPr>
              <m:sub>
                <m:r>
                  <m:rPr/>
                  <w:rPr>
                    <w:rFonts w:ascii="Cambria Math" w:hAnsi="Times New Roman"/>
                    <w:sz w:val="28"/>
                  </w:rPr>
                  <m:t>i=0</m:t>
                </m:r>
                <m:ctrlPr>
                  <w:rPr>
                    <w:rFonts w:ascii="Cambria Math" w:hAnsi="Times New Roman"/>
                    <w:i/>
                    <w:sz w:val="28"/>
                  </w:rPr>
                </m:ctrlPr>
              </m:sub>
              <m:sup>
                <m:r>
                  <m:rPr/>
                  <w:rPr>
                    <w:rFonts w:ascii="Cambria Math" w:hAnsi="Times New Roman"/>
                    <w:sz w:val="28"/>
                  </w:rPr>
                  <m:t>i=N</m:t>
                </m:r>
                <m:ctrlPr>
                  <w:rPr>
                    <w:rFonts w:ascii="Cambria Math" w:hAnsi="Times New Roman"/>
                    <w:i/>
                    <w:sz w:val="28"/>
                  </w:rPr>
                </m:ctrlPr>
              </m:sup>
              <m:e>
                <m:sSub>
                  <m:sSubPr>
                    <m:ctrlPr>
                      <w:rPr>
                        <w:rFonts w:ascii="Cambria Math" w:hAnsi="Times New Roman"/>
                        <w:i/>
                        <w:sz w:val="28"/>
                      </w:rPr>
                    </m:ctrlPr>
                  </m:sSubPr>
                  <m:e>
                    <m:r>
                      <m:rPr/>
                      <w:rPr>
                        <w:rFonts w:ascii="Cambria Math" w:hAnsi="Times New Roman"/>
                        <w:sz w:val="28"/>
                      </w:rPr>
                      <m:t>U</m:t>
                    </m:r>
                    <m:ctrlPr>
                      <w:rPr>
                        <w:rFonts w:ascii="Cambria Math" w:hAnsi="Times New Roman"/>
                        <w:i/>
                        <w:sz w:val="28"/>
                      </w:rPr>
                    </m:ctrlPr>
                  </m:e>
                  <m:sub>
                    <m:r>
                      <m:rPr/>
                      <w:rPr>
                        <w:rFonts w:ascii="Cambria Math" w:hAnsi="Times New Roman"/>
                        <w:sz w:val="28"/>
                      </w:rPr>
                      <m:t>i</m:t>
                    </m:r>
                    <m:ctrlPr>
                      <w:rPr>
                        <w:rFonts w:ascii="Cambria Math" w:hAnsi="Times New Roman"/>
                        <w:i/>
                        <w:sz w:val="28"/>
                      </w:rPr>
                    </m:ctrlPr>
                  </m:sub>
                </m:sSub>
                <m:sSub>
                  <m:sSubPr>
                    <m:ctrlPr>
                      <w:rPr>
                        <w:rFonts w:ascii="Cambria Math" w:hAnsi="Times New Roman"/>
                        <w:i/>
                        <w:sz w:val="28"/>
                      </w:rPr>
                    </m:ctrlPr>
                  </m:sSubPr>
                  <m:e>
                    <m:r>
                      <m:rPr/>
                      <w:rPr>
                        <w:rFonts w:ascii="Cambria Math" w:hAnsi="Times New Roman"/>
                        <w:sz w:val="28"/>
                      </w:rPr>
                      <m:t>I</m:t>
                    </m:r>
                    <m:ctrlPr>
                      <w:rPr>
                        <w:rFonts w:ascii="Cambria Math" w:hAnsi="Times New Roman"/>
                        <w:i/>
                        <w:sz w:val="28"/>
                      </w:rPr>
                    </m:ctrlPr>
                  </m:e>
                  <m:sub>
                    <m:r>
                      <m:rPr/>
                      <w:rPr>
                        <w:rFonts w:ascii="Cambria Math" w:hAnsi="Times New Roman"/>
                        <w:sz w:val="28"/>
                      </w:rPr>
                      <m:t>i</m:t>
                    </m:r>
                    <m:ctrlPr>
                      <w:rPr>
                        <w:rFonts w:ascii="Cambria Math" w:hAnsi="Times New Roman"/>
                        <w:i/>
                        <w:sz w:val="28"/>
                      </w:rPr>
                    </m:ctrlPr>
                  </m:sub>
                </m:sSub>
                <m:d>
                  <m:dPr>
                    <m:ctrlPr>
                      <w:rPr>
                        <w:rFonts w:ascii="Cambria Math" w:hAnsi="Times New Roman"/>
                        <w:i/>
                        <w:sz w:val="28"/>
                      </w:rPr>
                    </m:ctrlPr>
                  </m:dPr>
                  <m:e>
                    <m:sSub>
                      <m:sSubPr>
                        <m:ctrlPr>
                          <w:rPr>
                            <w:rFonts w:ascii="Cambria Math" w:hAnsi="Times New Roman"/>
                            <w:i/>
                            <w:sz w:val="28"/>
                          </w:rPr>
                        </m:ctrlPr>
                      </m:sSubPr>
                      <m:e>
                        <m:r>
                          <m:rPr/>
                          <w:rPr>
                            <w:rFonts w:ascii="Cambria Math" w:hAnsi="Times New Roman"/>
                            <w:sz w:val="28"/>
                          </w:rPr>
                          <m:t>t</m:t>
                        </m:r>
                        <m:ctrlPr>
                          <w:rPr>
                            <w:rFonts w:ascii="Cambria Math" w:hAnsi="Times New Roman"/>
                            <w:i/>
                            <w:sz w:val="28"/>
                          </w:rPr>
                        </m:ctrlPr>
                      </m:e>
                      <m:sub>
                        <m:r>
                          <m:rPr/>
                          <w:rPr>
                            <w:rFonts w:ascii="Cambria Math" w:hAnsi="Times New Roman"/>
                            <w:sz w:val="28"/>
                          </w:rPr>
                          <m:t>1</m:t>
                        </m:r>
                        <m:ctrlPr>
                          <w:rPr>
                            <w:rFonts w:ascii="Cambria Math" w:hAnsi="Times New Roman"/>
                            <w:i/>
                            <w:sz w:val="28"/>
                          </w:rPr>
                        </m:ctrlPr>
                      </m:sub>
                    </m:sSub>
                    <m:r>
                      <m:rPr/>
                      <w:rPr>
                        <w:rFonts w:hint="eastAsia" w:ascii="MS Mincho" w:hAnsi="MS Mincho" w:eastAsia="MS Mincho" w:cs="MS Mincho"/>
                        <w:sz w:val="28"/>
                      </w:rPr>
                      <m:t>−</m:t>
                    </m:r>
                    <m:sSub>
                      <m:sSubPr>
                        <m:ctrlPr>
                          <w:rPr>
                            <w:rFonts w:ascii="Cambria Math" w:hAnsi="Times New Roman"/>
                            <w:i/>
                            <w:sz w:val="28"/>
                          </w:rPr>
                        </m:ctrlPr>
                      </m:sSubPr>
                      <m:e>
                        <m:r>
                          <m:rPr/>
                          <w:rPr>
                            <w:rFonts w:ascii="Cambria Math" w:hAnsi="Times New Roman"/>
                            <w:sz w:val="28"/>
                          </w:rPr>
                          <m:t>t</m:t>
                        </m:r>
                        <m:ctrlPr>
                          <w:rPr>
                            <w:rFonts w:ascii="Cambria Math" w:hAnsi="Times New Roman"/>
                            <w:i/>
                            <w:sz w:val="28"/>
                          </w:rPr>
                        </m:ctrlPr>
                      </m:e>
                      <m:sub>
                        <m:r>
                          <m:rPr/>
                          <w:rPr>
                            <w:rFonts w:ascii="Cambria Math" w:hAnsi="Times New Roman"/>
                            <w:sz w:val="28"/>
                          </w:rPr>
                          <m:t>0</m:t>
                        </m:r>
                        <m:ctrlPr>
                          <w:rPr>
                            <w:rFonts w:ascii="Cambria Math" w:hAnsi="Times New Roman"/>
                            <w:i/>
                            <w:sz w:val="28"/>
                          </w:rPr>
                        </m:ctrlPr>
                      </m:sub>
                    </m:sSub>
                    <m:ctrlPr>
                      <w:rPr>
                        <w:rFonts w:ascii="Cambria Math" w:hAnsi="Times New Roman"/>
                        <w:i/>
                        <w:sz w:val="28"/>
                      </w:rPr>
                    </m:ctrlPr>
                  </m:e>
                </m:d>
                <m:ctrlPr>
                  <w:rPr>
                    <w:rFonts w:ascii="Cambria Math" w:hAnsi="Cambria Math"/>
                    <w:i/>
                    <w:sz w:val="28"/>
                  </w:rPr>
                </m:ctrlPr>
              </m:e>
            </m:nary>
            <m:ctrlPr>
              <w:rPr>
                <w:rFonts w:ascii="Cambria Math" w:hAnsi="Times New Roman"/>
                <w:i/>
                <w:sz w:val="28"/>
              </w:rPr>
            </m:ctrlPr>
          </m:num>
          <m:den>
            <m:nary>
              <m:naryPr>
                <m:chr m:val="∑"/>
                <m:ctrlPr>
                  <w:rPr>
                    <w:rFonts w:ascii="Cambria Math" w:hAnsi="Times New Roman"/>
                    <w:i/>
                    <w:sz w:val="28"/>
                  </w:rPr>
                </m:ctrlPr>
              </m:naryPr>
              <m:sub>
                <m:r>
                  <m:rPr/>
                  <w:rPr>
                    <w:rFonts w:ascii="Cambria Math" w:hAnsi="Times New Roman"/>
                    <w:sz w:val="28"/>
                  </w:rPr>
                  <m:t>i=0</m:t>
                </m:r>
                <m:ctrlPr>
                  <w:rPr>
                    <w:rFonts w:ascii="Cambria Math" w:hAnsi="Times New Roman"/>
                    <w:i/>
                    <w:sz w:val="28"/>
                  </w:rPr>
                </m:ctrlPr>
              </m:sub>
              <m:sup>
                <m:r>
                  <m:rPr/>
                  <w:rPr>
                    <w:rFonts w:ascii="Cambria Math" w:hAnsi="Times New Roman"/>
                    <w:sz w:val="28"/>
                  </w:rPr>
                  <m:t>i=N</m:t>
                </m:r>
                <m:ctrlPr>
                  <w:rPr>
                    <w:rFonts w:ascii="Cambria Math" w:hAnsi="Times New Roman"/>
                    <w:i/>
                    <w:sz w:val="28"/>
                  </w:rPr>
                </m:ctrlPr>
              </m:sup>
              <m:e>
                <m:sSub>
                  <m:sSubPr>
                    <m:ctrlPr>
                      <w:rPr>
                        <w:rFonts w:ascii="Cambria Math" w:hAnsi="Times New Roman"/>
                        <w:i/>
                        <w:sz w:val="28"/>
                      </w:rPr>
                    </m:ctrlPr>
                  </m:sSubPr>
                  <m:e>
                    <m:r>
                      <m:rPr/>
                      <w:rPr>
                        <w:rFonts w:ascii="Cambria Math" w:hAnsi="Times New Roman"/>
                        <w:sz w:val="28"/>
                      </w:rPr>
                      <m:t>U</m:t>
                    </m:r>
                    <m:ctrlPr>
                      <w:rPr>
                        <w:rFonts w:ascii="Cambria Math" w:hAnsi="Times New Roman"/>
                        <w:i/>
                        <w:sz w:val="28"/>
                      </w:rPr>
                    </m:ctrlPr>
                  </m:e>
                  <m:sub>
                    <m:r>
                      <m:rPr/>
                      <w:rPr>
                        <w:rFonts w:ascii="Cambria Math" w:hAnsi="Times New Roman"/>
                        <w:sz w:val="28"/>
                      </w:rPr>
                      <m:t>i</m:t>
                    </m:r>
                    <m:ctrlPr>
                      <w:rPr>
                        <w:rFonts w:ascii="Cambria Math" w:hAnsi="Times New Roman"/>
                        <w:i/>
                        <w:sz w:val="28"/>
                      </w:rPr>
                    </m:ctrlPr>
                  </m:sub>
                </m:sSub>
                <m:sSub>
                  <m:sSubPr>
                    <m:ctrlPr>
                      <w:rPr>
                        <w:rFonts w:ascii="Cambria Math" w:hAnsi="Times New Roman"/>
                        <w:i/>
                        <w:sz w:val="28"/>
                      </w:rPr>
                    </m:ctrlPr>
                  </m:sSubPr>
                  <m:e>
                    <m:r>
                      <m:rPr/>
                      <w:rPr>
                        <w:rFonts w:ascii="Cambria Math" w:hAnsi="Times New Roman"/>
                        <w:sz w:val="28"/>
                      </w:rPr>
                      <m:t>I</m:t>
                    </m:r>
                    <m:ctrlPr>
                      <w:rPr>
                        <w:rFonts w:ascii="Cambria Math" w:hAnsi="Times New Roman"/>
                        <w:i/>
                        <w:sz w:val="28"/>
                      </w:rPr>
                    </m:ctrlPr>
                  </m:e>
                  <m:sub>
                    <m:r>
                      <m:rPr/>
                      <w:rPr>
                        <w:rFonts w:ascii="Cambria Math" w:hAnsi="Times New Roman"/>
                        <w:sz w:val="28"/>
                      </w:rPr>
                      <m:t>i</m:t>
                    </m:r>
                    <m:ctrlPr>
                      <w:rPr>
                        <w:rFonts w:ascii="Cambria Math" w:hAnsi="Times New Roman"/>
                        <w:i/>
                        <w:sz w:val="28"/>
                      </w:rPr>
                    </m:ctrlPr>
                  </m:sub>
                </m:sSub>
                <m:ctrlPr>
                  <w:rPr>
                    <w:rFonts w:ascii="Cambria Math" w:hAnsi="Cambria Math"/>
                    <w:i/>
                    <w:sz w:val="28"/>
                  </w:rPr>
                </m:ctrlPr>
              </m:e>
            </m:nary>
            <m:d>
              <m:dPr>
                <m:ctrlPr>
                  <w:rPr>
                    <w:rFonts w:ascii="Cambria Math" w:hAnsi="Times New Roman"/>
                    <w:i/>
                    <w:sz w:val="28"/>
                  </w:rPr>
                </m:ctrlPr>
              </m:dPr>
              <m:e>
                <m:sSub>
                  <m:sSubPr>
                    <m:ctrlPr>
                      <w:rPr>
                        <w:rFonts w:ascii="Cambria Math" w:hAnsi="Times New Roman"/>
                        <w:i/>
                        <w:sz w:val="28"/>
                      </w:rPr>
                    </m:ctrlPr>
                  </m:sSubPr>
                  <m:e>
                    <m:r>
                      <m:rPr/>
                      <w:rPr>
                        <w:rFonts w:ascii="Cambria Math" w:hAnsi="Times New Roman"/>
                        <w:sz w:val="28"/>
                      </w:rPr>
                      <m:t>t</m:t>
                    </m:r>
                    <m:ctrlPr>
                      <w:rPr>
                        <w:rFonts w:ascii="Cambria Math" w:hAnsi="Times New Roman"/>
                        <w:i/>
                        <w:sz w:val="28"/>
                      </w:rPr>
                    </m:ctrlPr>
                  </m:e>
                  <m:sub>
                    <m:r>
                      <m:rPr/>
                      <w:rPr>
                        <w:rFonts w:ascii="Cambria Math" w:hAnsi="Times New Roman"/>
                        <w:sz w:val="28"/>
                      </w:rPr>
                      <m:t>1</m:t>
                    </m:r>
                    <m:ctrlPr>
                      <w:rPr>
                        <w:rFonts w:ascii="Cambria Math" w:hAnsi="Times New Roman"/>
                        <w:i/>
                        <w:sz w:val="28"/>
                      </w:rPr>
                    </m:ctrlPr>
                  </m:sub>
                </m:sSub>
                <m:r>
                  <m:rPr/>
                  <w:rPr>
                    <w:rFonts w:hint="eastAsia" w:ascii="MS Mincho" w:hAnsi="MS Mincho" w:eastAsia="MS Mincho" w:cs="MS Mincho"/>
                    <w:sz w:val="28"/>
                  </w:rPr>
                  <m:t>−</m:t>
                </m:r>
                <m:sSub>
                  <m:sSubPr>
                    <m:ctrlPr>
                      <w:rPr>
                        <w:rFonts w:ascii="Cambria Math" w:hAnsi="Times New Roman"/>
                        <w:i/>
                        <w:sz w:val="28"/>
                      </w:rPr>
                    </m:ctrlPr>
                  </m:sSubPr>
                  <m:e>
                    <m:r>
                      <m:rPr/>
                      <w:rPr>
                        <w:rFonts w:ascii="Cambria Math" w:hAnsi="Times New Roman"/>
                        <w:sz w:val="28"/>
                      </w:rPr>
                      <m:t>t</m:t>
                    </m:r>
                    <m:ctrlPr>
                      <w:rPr>
                        <w:rFonts w:ascii="Cambria Math" w:hAnsi="Times New Roman"/>
                        <w:i/>
                        <w:sz w:val="28"/>
                      </w:rPr>
                    </m:ctrlPr>
                  </m:e>
                  <m:sub>
                    <m:r>
                      <m:rPr/>
                      <w:rPr>
                        <w:rFonts w:ascii="Cambria Math" w:hAnsi="Times New Roman"/>
                        <w:sz w:val="28"/>
                      </w:rPr>
                      <m:t>0</m:t>
                    </m:r>
                    <m:ctrlPr>
                      <w:rPr>
                        <w:rFonts w:ascii="Cambria Math" w:hAnsi="Times New Roman"/>
                        <w:i/>
                        <w:sz w:val="28"/>
                      </w:rPr>
                    </m:ctrlPr>
                  </m:sub>
                </m:sSub>
                <m:ctrlPr>
                  <w:rPr>
                    <w:rFonts w:ascii="Cambria Math" w:hAnsi="Times New Roman"/>
                    <w:i/>
                    <w:sz w:val="28"/>
                  </w:rPr>
                </m:ctrlPr>
              </m:e>
            </m:d>
            <m:ctrlPr>
              <w:rPr>
                <w:rFonts w:ascii="Cambria Math" w:hAnsi="Times New Roman"/>
                <w:i/>
                <w:sz w:val="28"/>
              </w:rPr>
            </m:ctrlPr>
          </m:den>
        </m:f>
        <m:r>
          <m:rPr/>
          <w:rPr>
            <w:rFonts w:ascii="Cambria Math" w:hAnsi="Times New Roman"/>
            <w:sz w:val="28"/>
          </w:rPr>
          <m:t>×100%</m:t>
        </m:r>
      </m:oMath>
      <w:r>
        <w:rPr>
          <w:rFonts w:ascii="Times New Roman" w:hAnsi="Times New Roman"/>
        </w:rPr>
        <w:t xml:space="preserve"> </w:t>
      </w:r>
      <w:r>
        <w:rPr>
          <w:rFonts w:ascii="Times New Roman" w:hAnsi="Times New Roman"/>
        </w:rPr>
        <w:tab/>
      </w:r>
      <w:r>
        <w:rPr>
          <w:rFonts w:ascii="Times New Roman" w:hAnsi="Times New Roman"/>
        </w:rPr>
        <w:fldChar w:fldCharType="begin"/>
      </w:r>
      <w:r>
        <w:rPr>
          <w:rFonts w:ascii="Times New Roman" w:hAnsi="Times New Roman"/>
        </w:rPr>
        <w:instrText xml:space="preserve"> MACROBUTTON MTPlaceRef \* MERGEFORMAT </w:instrText>
      </w:r>
      <w:r>
        <w:rPr>
          <w:rFonts w:ascii="Times New Roman" w:hAnsi="Times New Roman"/>
        </w:rPr>
        <w:fldChar w:fldCharType="begin"/>
      </w:r>
      <w:r>
        <w:rPr>
          <w:rFonts w:ascii="Times New Roman" w:hAnsi="Times New Roman"/>
        </w:rPr>
        <w:instrText xml:space="preserve"> SEQ MTEqn \h \* MERGEFORMAT </w:instrText>
      </w:r>
      <w:r>
        <w:rPr>
          <w:rFonts w:ascii="Times New Roman" w:hAnsi="Times New Roman"/>
        </w:rPr>
        <w:fldChar w:fldCharType="end"/>
      </w:r>
      <w:r>
        <w:rPr>
          <w:rFonts w:ascii="Times New Roman" w:hAnsi="Times New Roman"/>
        </w:rPr>
        <w:instrText xml:space="preserve">(</w:instrText>
      </w:r>
      <w:r>
        <w:fldChar w:fldCharType="begin"/>
      </w:r>
      <w:r>
        <w:instrText xml:space="preserve"> SEQ MTEqn \c \* Arabic \* MERGEFORMAT </w:instrText>
      </w:r>
      <w:r>
        <w:fldChar w:fldCharType="separate"/>
      </w:r>
      <w:r>
        <w:rPr>
          <w:rFonts w:ascii="Times New Roman" w:hAnsi="Times New Roman"/>
        </w:rPr>
        <w:instrText xml:space="preserve">4</w:instrText>
      </w:r>
      <w:r>
        <w:rPr>
          <w:rFonts w:ascii="Times New Roman" w:hAnsi="Times New Roman"/>
        </w:rPr>
        <w:fldChar w:fldCharType="end"/>
      </w:r>
      <w:r>
        <w:rPr>
          <w:rFonts w:ascii="Times New Roman" w:hAnsi="Times New Roman"/>
        </w:rPr>
        <w:instrText xml:space="preserve">)</w:instrText>
      </w:r>
      <w:r>
        <w:rPr>
          <w:rFonts w:ascii="Times New Roman" w:hAnsi="Times New Roman"/>
        </w:rPr>
        <w:fldChar w:fldCharType="end"/>
      </w:r>
    </w:p>
    <w:p w14:paraId="60B702A6"/>
    <w:p w14:paraId="6617F904">
      <w:pPr>
        <w:snapToGrid w:val="0"/>
        <w:spacing w:line="360" w:lineRule="auto"/>
        <w:ind w:firstLine="480"/>
        <w:jc w:val="left"/>
        <w:rPr>
          <w:sz w:val="24"/>
        </w:rPr>
      </w:pPr>
      <w:r>
        <w:rPr>
          <w:sz w:val="24"/>
        </w:rPr>
        <w:t>式中：</w:t>
      </w:r>
    </w:p>
    <w:p w14:paraId="7EFEE78C">
      <w:pPr>
        <w:snapToGrid w:val="0"/>
        <w:spacing w:line="360" w:lineRule="auto"/>
        <w:ind w:firstLine="420" w:firstLineChars="200"/>
        <w:jc w:val="left"/>
        <w:rPr>
          <w:sz w:val="24"/>
        </w:rPr>
      </w:pPr>
      <w:r>
        <w:rPr>
          <w:position w:val="-14"/>
        </w:rPr>
        <w:object>
          <v:shape id="_x0000_i1027" o:spt="75" type="#_x0000_t75" style="height:18.75pt;width:11.25pt;" o:ole="t" filled="f" o:preferrelative="t" stroked="f" coordsize="21600,21600">
            <v:path/>
            <v:fill on="f" focussize="0,0"/>
            <v:stroke on="f" joinstyle="miter"/>
            <v:imagedata r:id="rId23" o:title=""/>
            <o:lock v:ext="edit" aspectratio="t"/>
            <w10:wrap type="none"/>
            <w10:anchorlock/>
          </v:shape>
          <o:OLEObject Type="Embed" ProgID="Equation.DSMT4" ShapeID="_x0000_i1027" DrawAspect="Content" ObjectID="_1468075727" r:id="rId22">
            <o:LockedField>false</o:LockedField>
          </o:OLEObject>
        </w:object>
      </w:r>
      <w:r>
        <w:rPr>
          <w:sz w:val="24"/>
        </w:rPr>
        <w:t>——产热量</w:t>
      </w:r>
      <w:r>
        <w:rPr>
          <w:rFonts w:hint="eastAsia"/>
          <w:sz w:val="24"/>
        </w:rPr>
        <w:t>相对</w:t>
      </w:r>
      <w:r>
        <w:rPr>
          <w:sz w:val="24"/>
        </w:rPr>
        <w:t>误差，％；</w:t>
      </w:r>
    </w:p>
    <w:p w14:paraId="7F591C79">
      <w:pPr>
        <w:snapToGrid w:val="0"/>
        <w:spacing w:line="360" w:lineRule="auto"/>
        <w:ind w:firstLine="420" w:firstLineChars="200"/>
        <w:jc w:val="left"/>
        <w:rPr>
          <w:sz w:val="24"/>
        </w:rPr>
      </w:pPr>
      <w:r>
        <w:rPr>
          <w:position w:val="-12"/>
        </w:rPr>
        <w:object>
          <v:shape id="_x0000_i1028" o:spt="75" type="#_x0000_t75" style="height:18pt;width:17.25pt;" o:ole="t" filled="f" o:preferrelative="t" stroked="f" coordsize="21600,21600">
            <v:path/>
            <v:fill on="f" focussize="0,0"/>
            <v:stroke on="f" joinstyle="miter"/>
            <v:imagedata r:id="rId25" o:title=""/>
            <o:lock v:ext="edit" aspectratio="t"/>
            <w10:wrap type="none"/>
            <w10:anchorlock/>
          </v:shape>
          <o:OLEObject Type="Embed" ProgID="Equation.DSMT4" ShapeID="_x0000_i1028" DrawAspect="Content" ObjectID="_1468075728" r:id="rId24">
            <o:LockedField>false</o:LockedField>
          </o:OLEObject>
        </w:object>
      </w:r>
      <w:r>
        <w:rPr>
          <w:sz w:val="24"/>
        </w:rPr>
        <w:t>——校准过程</w:t>
      </w:r>
      <w:r>
        <w:rPr>
          <w:rFonts w:hint="eastAsia"/>
          <w:sz w:val="24"/>
        </w:rPr>
        <w:t>仪器</w:t>
      </w:r>
      <w:r>
        <w:rPr>
          <w:sz w:val="24"/>
        </w:rPr>
        <w:t>测量的产热量，J；</w:t>
      </w:r>
    </w:p>
    <w:p w14:paraId="41250382">
      <w:pPr>
        <w:snapToGrid w:val="0"/>
        <w:spacing w:line="360" w:lineRule="auto"/>
        <w:ind w:firstLine="420" w:firstLineChars="200"/>
        <w:jc w:val="left"/>
        <w:rPr>
          <w:sz w:val="24"/>
        </w:rPr>
      </w:pPr>
      <w:r>
        <w:rPr>
          <w:position w:val="-12"/>
        </w:rPr>
        <w:object>
          <v:shape id="_x0000_i1029" o:spt="75" type="#_x0000_t75" style="height:18pt;width:13.5pt;" o:ole="t" filled="f" o:preferrelative="t" stroked="f" coordsize="21600,21600">
            <v:path/>
            <v:fill on="f" focussize="0,0"/>
            <v:stroke on="f" joinstyle="miter"/>
            <v:imagedata r:id="rId27" o:title=""/>
            <o:lock v:ext="edit" aspectratio="t"/>
            <w10:wrap type="none"/>
            <w10:anchorlock/>
          </v:shape>
          <o:OLEObject Type="Embed" ProgID="Equation.DSMT4" ShapeID="_x0000_i1029" DrawAspect="Content" ObjectID="_1468075729" r:id="rId26">
            <o:LockedField>false</o:LockedField>
          </o:OLEObject>
        </w:object>
      </w:r>
      <w:r>
        <w:rPr>
          <w:sz w:val="24"/>
        </w:rPr>
        <w:t>——</w:t>
      </w:r>
      <w:r>
        <w:rPr>
          <w:rFonts w:hint="eastAsia"/>
          <w:sz w:val="24"/>
        </w:rPr>
        <w:t>标准样块</w:t>
      </w:r>
      <w:r>
        <w:rPr>
          <w:sz w:val="24"/>
        </w:rPr>
        <w:t>两端的电压值，V；</w:t>
      </w:r>
    </w:p>
    <w:p w14:paraId="7A806D7C">
      <w:pPr>
        <w:snapToGrid w:val="0"/>
        <w:spacing w:line="360" w:lineRule="auto"/>
        <w:ind w:firstLine="420" w:firstLineChars="200"/>
        <w:jc w:val="left"/>
        <w:rPr>
          <w:sz w:val="24"/>
        </w:rPr>
      </w:pPr>
      <w:r>
        <w:rPr>
          <w:position w:val="-12"/>
        </w:rPr>
        <w:object>
          <v:shape id="_x0000_i1030" o:spt="75" type="#_x0000_t75" style="height:18pt;width:10.5pt;" o:ole="t" filled="f" o:preferrelative="t" stroked="f" coordsize="21600,21600">
            <v:path/>
            <v:fill on="f" focussize="0,0"/>
            <v:stroke on="f" joinstyle="miter"/>
            <v:imagedata r:id="rId29" o:title=""/>
            <o:lock v:ext="edit" aspectratio="t"/>
            <w10:wrap type="none"/>
            <w10:anchorlock/>
          </v:shape>
          <o:OLEObject Type="Embed" ProgID="Equation.DSMT4" ShapeID="_x0000_i1030" DrawAspect="Content" ObjectID="_1468075730" r:id="rId28">
            <o:LockedField>false</o:LockedField>
          </o:OLEObject>
        </w:object>
      </w:r>
      <w:r>
        <w:rPr>
          <w:sz w:val="24"/>
        </w:rPr>
        <w:t>——标准直流电源输出电流值，A；</w:t>
      </w:r>
    </w:p>
    <w:p w14:paraId="047E54FA">
      <w:pPr>
        <w:snapToGrid w:val="0"/>
        <w:spacing w:line="360" w:lineRule="auto"/>
        <w:ind w:firstLine="480" w:firstLineChars="200"/>
        <w:jc w:val="left"/>
        <w:rPr>
          <w:sz w:val="24"/>
        </w:rPr>
      </w:pPr>
      <w:r>
        <w:rPr>
          <w:rFonts w:hint="eastAsia"/>
          <w:i/>
          <w:iCs/>
          <w:sz w:val="24"/>
        </w:rPr>
        <w:t>i</w:t>
      </w:r>
      <w:r>
        <w:rPr>
          <w:sz w:val="24"/>
        </w:rPr>
        <w:t>——</w:t>
      </w:r>
      <w:r>
        <w:rPr>
          <w:rFonts w:hint="eastAsia"/>
          <w:sz w:val="24"/>
        </w:rPr>
        <w:t>数据记录点数，</w:t>
      </w:r>
      <w:r>
        <w:rPr>
          <w:rFonts w:hint="eastAsia"/>
          <w:i/>
          <w:iCs/>
          <w:sz w:val="24"/>
        </w:rPr>
        <w:t>i=</w:t>
      </w:r>
      <w:r>
        <w:rPr>
          <w:sz w:val="24"/>
        </w:rPr>
        <w:t>0</w:t>
      </w:r>
      <w:r>
        <w:rPr>
          <w:rFonts w:hint="eastAsia"/>
          <w:sz w:val="24"/>
        </w:rPr>
        <w:t>为</w:t>
      </w:r>
      <w:r>
        <w:rPr>
          <w:rFonts w:hint="eastAsia"/>
          <w:i/>
          <w:iCs/>
          <w:sz w:val="24"/>
        </w:rPr>
        <w:t>t</w:t>
      </w:r>
      <w:r>
        <w:rPr>
          <w:sz w:val="24"/>
          <w:vertAlign w:val="subscript"/>
        </w:rPr>
        <w:t>0</w:t>
      </w:r>
      <w:r>
        <w:rPr>
          <w:rFonts w:hint="eastAsia"/>
          <w:sz w:val="24"/>
        </w:rPr>
        <w:t>时刻，</w:t>
      </w:r>
      <w:r>
        <w:rPr>
          <w:rFonts w:hint="eastAsia"/>
          <w:i/>
          <w:iCs/>
          <w:sz w:val="24"/>
        </w:rPr>
        <w:t>i=N</w:t>
      </w:r>
      <w:r>
        <w:rPr>
          <w:rFonts w:hint="eastAsia"/>
          <w:sz w:val="24"/>
        </w:rPr>
        <w:t>为</w:t>
      </w:r>
      <w:r>
        <w:rPr>
          <w:rFonts w:hint="eastAsia"/>
          <w:i/>
          <w:iCs/>
          <w:sz w:val="24"/>
        </w:rPr>
        <w:t>t</w:t>
      </w:r>
      <w:r>
        <w:rPr>
          <w:sz w:val="24"/>
          <w:vertAlign w:val="subscript"/>
        </w:rPr>
        <w:t>1</w:t>
      </w:r>
      <w:r>
        <w:rPr>
          <w:rFonts w:hint="eastAsia"/>
          <w:sz w:val="24"/>
        </w:rPr>
        <w:t>时刻。</w:t>
      </w:r>
    </w:p>
    <w:p w14:paraId="5CA0316E">
      <w:pPr>
        <w:pStyle w:val="38"/>
        <w:numPr>
          <w:ilvl w:val="2"/>
          <w:numId w:val="1"/>
        </w:numPr>
        <w:autoSpaceDE w:val="0"/>
        <w:autoSpaceDN w:val="0"/>
        <w:adjustRightInd w:val="0"/>
        <w:spacing w:beforeLines="50" w:line="360" w:lineRule="auto"/>
        <w:ind w:firstLineChars="0"/>
        <w:rPr>
          <w:rStyle w:val="27"/>
          <w:rFonts w:asciiTheme="minorEastAsia" w:hAnsiTheme="minorEastAsia" w:eastAsiaTheme="minorEastAsia"/>
          <w:b w:val="0"/>
          <w:sz w:val="24"/>
        </w:rPr>
      </w:pPr>
      <w:r>
        <w:rPr>
          <w:rStyle w:val="27"/>
          <w:rFonts w:hint="eastAsia" w:asciiTheme="minorEastAsia" w:hAnsiTheme="minorEastAsia" w:eastAsiaTheme="minorEastAsia"/>
          <w:b w:val="0"/>
          <w:sz w:val="24"/>
        </w:rPr>
        <w:t>温度示值误差和温度波动度</w:t>
      </w:r>
      <w:bookmarkEnd w:id="70"/>
      <w:bookmarkEnd w:id="71"/>
    </w:p>
    <w:p w14:paraId="21D30438">
      <w:pPr>
        <w:tabs>
          <w:tab w:val="left" w:pos="540"/>
        </w:tabs>
        <w:autoSpaceDE w:val="0"/>
        <w:autoSpaceDN w:val="0"/>
        <w:adjustRightInd w:val="0"/>
        <w:spacing w:line="360" w:lineRule="auto"/>
        <w:rPr>
          <w:sz w:val="24"/>
        </w:rPr>
      </w:pPr>
      <w:r>
        <w:rPr>
          <w:sz w:val="24"/>
        </w:rPr>
        <w:tab/>
      </w:r>
      <w:r>
        <w:rPr>
          <w:sz w:val="24"/>
        </w:rPr>
        <w:t>校准点建议选择（0～150）℃和（150～3</w:t>
      </w:r>
      <w:r>
        <w:rPr>
          <w:rFonts w:hint="eastAsia"/>
          <w:sz w:val="24"/>
        </w:rPr>
        <w:t>0</w:t>
      </w:r>
      <w:r>
        <w:rPr>
          <w:sz w:val="24"/>
        </w:rPr>
        <w:t>0）℃范围内各一个校准点，当客户有具体要求时也可根据用户要求选择校准点。</w:t>
      </w:r>
      <w:r>
        <w:rPr>
          <w:rFonts w:hint="eastAsia" w:ascii="宋体" w:hAnsi="宋体" w:cs="宋体"/>
          <w:sz w:val="24"/>
        </w:rPr>
        <w:t>使用多通道温度测量装置，标准温度传感器布放位置应</w:t>
      </w:r>
      <w:r>
        <w:rPr>
          <w:rFonts w:hint="eastAsia" w:ascii="宋体" w:hAnsi="宋体" w:cs="宋体"/>
          <w:bCs/>
          <w:sz w:val="24"/>
        </w:rPr>
        <w:t>紧贴</w:t>
      </w:r>
      <w:r>
        <w:rPr>
          <w:rFonts w:hint="eastAsia" w:ascii="宋体" w:hAnsi="宋体" w:cs="宋体"/>
          <w:sz w:val="24"/>
        </w:rPr>
        <w:t>仪器温度控制传感器。</w:t>
      </w:r>
      <w:r>
        <w:rPr>
          <w:sz w:val="24"/>
        </w:rPr>
        <w:t>启动被校</w:t>
      </w:r>
      <w:r>
        <w:rPr>
          <w:rFonts w:hint="eastAsia"/>
          <w:sz w:val="24"/>
        </w:rPr>
        <w:t>锂离子电池电芯热参数测试仪，设置工作模式为恒温模式，并</w:t>
      </w:r>
      <w:r>
        <w:rPr>
          <w:sz w:val="24"/>
        </w:rPr>
        <w:t>将</w:t>
      </w:r>
      <w:r>
        <w:rPr>
          <w:rFonts w:hint="eastAsia"/>
          <w:sz w:val="24"/>
        </w:rPr>
        <w:t>恒温温度</w:t>
      </w:r>
      <w:r>
        <w:rPr>
          <w:sz w:val="24"/>
        </w:rPr>
        <w:t>设定</w:t>
      </w:r>
      <w:r>
        <w:rPr>
          <w:rFonts w:hint="eastAsia"/>
          <w:sz w:val="24"/>
        </w:rPr>
        <w:t>为</w:t>
      </w:r>
      <w:r>
        <w:rPr>
          <w:sz w:val="24"/>
        </w:rPr>
        <w:t>校准温度点，</w:t>
      </w:r>
      <w:r>
        <w:rPr>
          <w:rFonts w:hint="eastAsia"/>
          <w:sz w:val="24"/>
        </w:rPr>
        <w:t>恒温时间设置为不小于60min</w:t>
      </w:r>
      <w:r>
        <w:rPr>
          <w:rFonts w:hint="eastAsia" w:ascii="宋体" w:hAnsi="宋体" w:cs="宋体"/>
          <w:sz w:val="24"/>
        </w:rPr>
        <w:t>。</w:t>
      </w:r>
      <w:r>
        <w:rPr>
          <w:rFonts w:hint="eastAsia"/>
          <w:sz w:val="24"/>
        </w:rPr>
        <w:t>进入温度</w:t>
      </w:r>
      <w:r>
        <w:rPr>
          <w:sz w:val="24"/>
        </w:rPr>
        <w:t>稳定</w:t>
      </w:r>
      <w:r>
        <w:rPr>
          <w:rFonts w:hint="eastAsia"/>
          <w:sz w:val="24"/>
        </w:rPr>
        <w:t>阶段</w:t>
      </w:r>
      <w:r>
        <w:rPr>
          <w:sz w:val="24"/>
        </w:rPr>
        <w:t>后</w:t>
      </w:r>
      <w:r>
        <w:rPr>
          <w:rFonts w:eastAsiaTheme="minorEastAsia"/>
          <w:sz w:val="24"/>
        </w:rPr>
        <w:t>温度测量标准</w:t>
      </w:r>
      <w:r>
        <w:rPr>
          <w:rFonts w:hint="eastAsia" w:eastAsiaTheme="minorEastAsia"/>
          <w:sz w:val="24"/>
        </w:rPr>
        <w:t>器和仪器自带的测温系统分别</w:t>
      </w:r>
      <w:r>
        <w:rPr>
          <w:sz w:val="24"/>
        </w:rPr>
        <w:t>开始记录测量点温度，记录时间间隔为2min，</w:t>
      </w:r>
      <w:r>
        <w:rPr>
          <w:rFonts w:hint="eastAsia"/>
          <w:sz w:val="24"/>
        </w:rPr>
        <w:t>30min内</w:t>
      </w:r>
      <w:r>
        <w:rPr>
          <w:sz w:val="24"/>
        </w:rPr>
        <w:t>共记录</w:t>
      </w:r>
      <w:r>
        <w:rPr>
          <w:rFonts w:hint="eastAsia"/>
          <w:sz w:val="24"/>
        </w:rPr>
        <w:t>16</w:t>
      </w:r>
      <w:r>
        <w:rPr>
          <w:sz w:val="24"/>
        </w:rPr>
        <w:t>组数据，或根据</w:t>
      </w:r>
      <w:r>
        <w:rPr>
          <w:rFonts w:hint="eastAsia"/>
          <w:sz w:val="24"/>
        </w:rPr>
        <w:t>仪器</w:t>
      </w:r>
      <w:r>
        <w:rPr>
          <w:sz w:val="24"/>
        </w:rPr>
        <w:t>运行情况和用户需求确定间隔和记录次数</w:t>
      </w:r>
      <w:r>
        <w:rPr>
          <w:rFonts w:hint="eastAsia"/>
          <w:sz w:val="24"/>
        </w:rPr>
        <w:t>并在原始记录和校准证书中进行说明。</w:t>
      </w:r>
    </w:p>
    <w:p w14:paraId="697034DD">
      <w:pPr>
        <w:tabs>
          <w:tab w:val="left" w:pos="540"/>
        </w:tabs>
        <w:autoSpaceDE w:val="0"/>
        <w:autoSpaceDN w:val="0"/>
        <w:adjustRightInd w:val="0"/>
        <w:spacing w:line="360" w:lineRule="auto"/>
        <w:ind w:firstLine="480" w:firstLineChars="200"/>
        <w:rPr>
          <w:sz w:val="24"/>
        </w:rPr>
      </w:pPr>
      <w:r>
        <w:rPr>
          <w:sz w:val="24"/>
        </w:rPr>
        <w:t>温度示值误差按照公式（</w:t>
      </w:r>
      <w:r>
        <w:rPr>
          <w:rFonts w:hint="eastAsia"/>
          <w:sz w:val="24"/>
        </w:rPr>
        <w:t>5</w:t>
      </w:r>
      <w:r>
        <w:rPr>
          <w:sz w:val="24"/>
        </w:rPr>
        <w:t>）计算：</w:t>
      </w:r>
    </w:p>
    <w:p w14:paraId="2850A68B">
      <w:pPr>
        <w:tabs>
          <w:tab w:val="left" w:pos="540"/>
        </w:tabs>
        <w:autoSpaceDE w:val="0"/>
        <w:autoSpaceDN w:val="0"/>
        <w:adjustRightInd w:val="0"/>
        <w:spacing w:line="360" w:lineRule="auto"/>
        <w:ind w:firstLine="480" w:firstLineChars="200"/>
        <w:jc w:val="center"/>
        <w:rPr>
          <w:sz w:val="24"/>
        </w:rPr>
      </w:pPr>
      <w:r>
        <w:rPr>
          <w:rFonts w:hint="eastAsia"/>
          <w:sz w:val="24"/>
        </w:rPr>
        <w:t xml:space="preserve">             </w:t>
      </w:r>
      <w:r>
        <w:rPr>
          <w:rFonts w:hint="eastAsia"/>
          <w:i/>
          <w:iCs/>
          <w:sz w:val="24"/>
        </w:rPr>
        <w:t xml:space="preserve"> </w:t>
      </w:r>
      <m:oMath>
        <m:r>
          <m:rPr/>
          <w:rPr>
            <w:rFonts w:ascii="Cambria Math" w:hAnsi="Cambria Math"/>
            <w:sz w:val="24"/>
          </w:rPr>
          <m:t>∆T=</m:t>
        </m:r>
        <m:acc>
          <m:accPr>
            <m:chr m:val="̅"/>
            <m:ctrlPr>
              <w:rPr>
                <w:rFonts w:ascii="Cambria Math" w:hAnsi="Cambria Math"/>
                <w:i/>
                <w:iCs/>
                <w:sz w:val="24"/>
              </w:rPr>
            </m:ctrlPr>
          </m:accPr>
          <m:e>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hint="eastAsia" w:ascii="Cambria Math" w:hAnsi="Cambria Math"/>
                    <w:sz w:val="24"/>
                  </w:rPr>
                  <m:t>s</m:t>
                </m:r>
                <m:ctrlPr>
                  <w:rPr>
                    <w:rFonts w:ascii="Cambria Math" w:hAnsi="Cambria Math"/>
                    <w:i/>
                    <w:iCs/>
                    <w:sz w:val="24"/>
                  </w:rPr>
                </m:ctrlPr>
              </m:sub>
            </m:sSub>
            <m:ctrlPr>
              <w:rPr>
                <w:rFonts w:ascii="Cambria Math" w:hAnsi="Cambria Math"/>
                <w:i/>
                <w:iCs/>
                <w:sz w:val="24"/>
              </w:rPr>
            </m:ctrlPr>
          </m:e>
        </m:acc>
        <m:r>
          <m:rPr/>
          <w:rPr>
            <w:rFonts w:ascii="Cambria Math" w:hAnsi="Cambria Math"/>
            <w:sz w:val="24"/>
          </w:rPr>
          <m:t>−</m:t>
        </m:r>
        <m:acc>
          <m:accPr>
            <m:chr m:val="̅"/>
            <m:ctrlPr>
              <w:rPr>
                <w:rFonts w:ascii="Cambria Math" w:hAnsi="Cambria Math"/>
                <w:i/>
                <w:iCs/>
                <w:sz w:val="24"/>
              </w:rPr>
            </m:ctrlPr>
          </m:accPr>
          <m:e>
            <m:r>
              <m:rPr/>
              <w:rPr>
                <w:rFonts w:ascii="Cambria Math" w:hAnsi="Cambria Math"/>
                <w:sz w:val="24"/>
              </w:rPr>
              <m:t>T</m:t>
            </m:r>
            <m:ctrlPr>
              <w:rPr>
                <w:rFonts w:ascii="Cambria Math" w:hAnsi="Cambria Math"/>
                <w:i/>
                <w:iCs/>
                <w:sz w:val="24"/>
              </w:rPr>
            </m:ctrlPr>
          </m:e>
        </m:acc>
      </m:oMath>
      <w:r>
        <w:rPr>
          <w:rFonts w:hint="eastAsia"/>
          <w:i/>
          <w:iCs/>
          <w:sz w:val="24"/>
        </w:rPr>
        <w:t xml:space="preserve">      </w:t>
      </w:r>
      <w:r>
        <w:rPr>
          <w:sz w:val="24"/>
        </w:rPr>
        <w:tab/>
      </w:r>
      <w:r>
        <w:rPr>
          <w:sz w:val="24"/>
        </w:rPr>
        <w:tab/>
      </w:r>
      <w:r>
        <w:rPr>
          <w:sz w:val="24"/>
        </w:rPr>
        <w:tab/>
      </w:r>
      <w:r>
        <w:rPr>
          <w:sz w:val="24"/>
        </w:rPr>
        <w:tab/>
      </w:r>
      <w:r>
        <w:rPr>
          <w:rFonts w:hint="eastAsia"/>
          <w:sz w:val="24"/>
        </w:rPr>
        <w:t xml:space="preserve">  (5)</w:t>
      </w:r>
    </w:p>
    <w:p w14:paraId="10C848CD">
      <w:pPr>
        <w:tabs>
          <w:tab w:val="left" w:pos="540"/>
        </w:tabs>
        <w:autoSpaceDE w:val="0"/>
        <w:autoSpaceDN w:val="0"/>
        <w:adjustRightInd w:val="0"/>
        <w:spacing w:line="360" w:lineRule="auto"/>
        <w:ind w:firstLine="480" w:firstLineChars="200"/>
        <w:rPr>
          <w:sz w:val="24"/>
        </w:rPr>
      </w:pPr>
      <w:r>
        <w:rPr>
          <w:sz w:val="24"/>
        </w:rPr>
        <w:t>式中：</w:t>
      </w:r>
    </w:p>
    <w:p w14:paraId="5E06B5F5">
      <w:pPr>
        <w:tabs>
          <w:tab w:val="left" w:pos="540"/>
        </w:tabs>
        <w:autoSpaceDE w:val="0"/>
        <w:autoSpaceDN w:val="0"/>
        <w:adjustRightInd w:val="0"/>
        <w:spacing w:line="360" w:lineRule="auto"/>
        <w:ind w:firstLine="420" w:firstLineChars="200"/>
        <w:rPr>
          <w:sz w:val="24"/>
        </w:rPr>
      </w:pPr>
      <w:r>
        <w:tab/>
      </w:r>
      <w:r>
        <w:tab/>
      </w:r>
      <w:r>
        <w:rPr>
          <w:position w:val="-4"/>
        </w:rPr>
        <w:object>
          <v:shape id="_x0000_i1031" o:spt="75" type="#_x0000_t75" style="height:10.5pt;width:17.25pt;" o:ole="t" filled="f" o:preferrelative="t" stroked="f" coordsize="21600,21600">
            <v:path/>
            <v:fill on="f" focussize="0,0"/>
            <v:stroke on="f" joinstyle="miter"/>
            <v:imagedata r:id="rId31" o:title=""/>
            <o:lock v:ext="edit" aspectratio="t"/>
            <w10:wrap type="none"/>
            <w10:anchorlock/>
          </v:shape>
          <o:OLEObject Type="Embed" ProgID="Equation.3" ShapeID="_x0000_i1031" DrawAspect="Content" ObjectID="_1468075731" r:id="rId30">
            <o:LockedField>false</o:LockedField>
          </o:OLEObject>
        </w:object>
      </w:r>
      <w:r>
        <w:rPr>
          <w:sz w:val="24"/>
        </w:rPr>
        <w:t>——温度示值误差，℃；</w:t>
      </w:r>
    </w:p>
    <w:p w14:paraId="5EBDACA4">
      <w:pPr>
        <w:tabs>
          <w:tab w:val="left" w:pos="540"/>
        </w:tabs>
        <w:autoSpaceDE w:val="0"/>
        <w:autoSpaceDN w:val="0"/>
        <w:adjustRightInd w:val="0"/>
        <w:spacing w:line="360" w:lineRule="auto"/>
        <w:ind w:firstLine="480" w:firstLineChars="200"/>
        <w:rPr>
          <w:sz w:val="24"/>
        </w:rPr>
      </w:pPr>
      <w:r>
        <w:rPr>
          <w:iCs/>
          <w:sz w:val="24"/>
        </w:rPr>
        <w:tab/>
      </w:r>
      <w:r>
        <w:rPr>
          <w:iCs/>
          <w:sz w:val="24"/>
        </w:rPr>
        <w:tab/>
      </w:r>
      <m:oMath>
        <m:acc>
          <m:accPr>
            <m:chr m:val="̅"/>
            <m:ctrlPr>
              <w:rPr>
                <w:rFonts w:ascii="Cambria Math" w:hAnsi="Cambria Math"/>
                <w:i/>
                <w:iCs/>
                <w:sz w:val="24"/>
              </w:rPr>
            </m:ctrlPr>
          </m:accPr>
          <m:e>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hint="eastAsia" w:ascii="Cambria Math" w:hAnsi="Cambria Math"/>
                    <w:sz w:val="24"/>
                  </w:rPr>
                  <m:t>s</m:t>
                </m:r>
                <m:ctrlPr>
                  <w:rPr>
                    <w:rFonts w:ascii="Cambria Math" w:hAnsi="Cambria Math"/>
                    <w:i/>
                    <w:iCs/>
                    <w:sz w:val="24"/>
                  </w:rPr>
                </m:ctrlPr>
              </m:sub>
            </m:sSub>
            <m:ctrlPr>
              <w:rPr>
                <w:rFonts w:ascii="Cambria Math" w:hAnsi="Cambria Math"/>
                <w:i/>
                <w:iCs/>
                <w:sz w:val="24"/>
              </w:rPr>
            </m:ctrlPr>
          </m:e>
        </m:acc>
      </m:oMath>
      <w:r>
        <w:rPr>
          <w:sz w:val="24"/>
        </w:rPr>
        <w:t>——</w:t>
      </w:r>
      <w:r>
        <w:rPr>
          <w:rFonts w:hint="eastAsia"/>
          <w:sz w:val="24"/>
        </w:rPr>
        <w:t>仪器自带测温系统</w:t>
      </w:r>
      <w:r>
        <w:rPr>
          <w:sz w:val="24"/>
        </w:rPr>
        <w:t>采集的</w:t>
      </w:r>
      <w:r>
        <w:rPr>
          <w:rFonts w:hint="eastAsia"/>
          <w:sz w:val="24"/>
        </w:rPr>
        <w:t>16</w:t>
      </w:r>
      <w:r>
        <w:rPr>
          <w:sz w:val="24"/>
        </w:rPr>
        <w:t>组温度平均值，℃；</w:t>
      </w:r>
    </w:p>
    <w:p w14:paraId="4B2F790E">
      <w:pPr>
        <w:tabs>
          <w:tab w:val="left" w:pos="540"/>
        </w:tabs>
        <w:autoSpaceDE w:val="0"/>
        <w:autoSpaceDN w:val="0"/>
        <w:adjustRightInd w:val="0"/>
        <w:spacing w:line="360" w:lineRule="auto"/>
        <w:ind w:firstLine="480" w:firstLineChars="200"/>
        <w:rPr>
          <w:rStyle w:val="27"/>
          <w:b w:val="0"/>
          <w:bCs w:val="0"/>
          <w:sz w:val="24"/>
        </w:rPr>
      </w:pPr>
      <w:r>
        <w:rPr>
          <w:iCs/>
          <w:sz w:val="24"/>
        </w:rPr>
        <w:tab/>
      </w:r>
      <w:r>
        <w:rPr>
          <w:iCs/>
          <w:sz w:val="24"/>
        </w:rPr>
        <w:tab/>
      </w:r>
      <m:oMath>
        <m:acc>
          <m:accPr>
            <m:chr m:val="̅"/>
            <m:ctrlPr>
              <w:rPr>
                <w:rFonts w:ascii="Cambria Math" w:hAnsi="Cambria Math"/>
                <w:i/>
                <w:iCs/>
                <w:sz w:val="24"/>
              </w:rPr>
            </m:ctrlPr>
          </m:accPr>
          <m:e>
            <m:r>
              <m:rPr/>
              <w:rPr>
                <w:rFonts w:ascii="Cambria Math" w:hAnsi="Cambria Math"/>
                <w:sz w:val="24"/>
              </w:rPr>
              <m:t>T</m:t>
            </m:r>
            <m:ctrlPr>
              <w:rPr>
                <w:rFonts w:ascii="Cambria Math" w:hAnsi="Cambria Math"/>
                <w:i/>
                <w:iCs/>
                <w:sz w:val="24"/>
              </w:rPr>
            </m:ctrlPr>
          </m:e>
        </m:acc>
      </m:oMath>
      <w:r>
        <w:rPr>
          <w:sz w:val="24"/>
        </w:rPr>
        <w:t>——标准器采集的</w:t>
      </w:r>
      <w:r>
        <w:rPr>
          <w:rFonts w:hint="eastAsia"/>
          <w:sz w:val="24"/>
        </w:rPr>
        <w:t>16</w:t>
      </w:r>
      <w:r>
        <w:rPr>
          <w:sz w:val="24"/>
        </w:rPr>
        <w:t>组温度平均值，℃。</w:t>
      </w:r>
      <w:bookmarkStart w:id="72" w:name="_Toc121724294"/>
    </w:p>
    <w:p w14:paraId="36C246D2">
      <w:pPr>
        <w:tabs>
          <w:tab w:val="left" w:pos="540"/>
        </w:tabs>
        <w:autoSpaceDE w:val="0"/>
        <w:autoSpaceDN w:val="0"/>
        <w:adjustRightInd w:val="0"/>
        <w:spacing w:beforeLines="50" w:line="360" w:lineRule="auto"/>
        <w:ind w:firstLine="480" w:firstLineChars="200"/>
        <w:rPr>
          <w:sz w:val="24"/>
        </w:rPr>
      </w:pPr>
      <w:r>
        <w:rPr>
          <w:rFonts w:hint="eastAsia"/>
          <w:sz w:val="24"/>
        </w:rPr>
        <w:t>温度波动度按30min分钟内标准器实测最高温度与最低温度之差的一半进行计算。</w:t>
      </w:r>
    </w:p>
    <w:p w14:paraId="17B0D992">
      <w:pPr>
        <w:tabs>
          <w:tab w:val="left" w:pos="540"/>
        </w:tabs>
        <w:autoSpaceDE w:val="0"/>
        <w:autoSpaceDN w:val="0"/>
        <w:adjustRightInd w:val="0"/>
        <w:spacing w:line="360" w:lineRule="auto"/>
        <w:ind w:firstLine="480" w:firstLineChars="200"/>
        <w:jc w:val="center"/>
        <w:rPr>
          <w:sz w:val="24"/>
        </w:rPr>
      </w:pPr>
      <w:r>
        <w:rPr>
          <w:rFonts w:hint="eastAsia"/>
          <w:sz w:val="24"/>
        </w:rPr>
        <w:t xml:space="preserve">             </w:t>
      </w:r>
      <w:r>
        <w:rPr>
          <w:rFonts w:hint="eastAsia"/>
          <w:i/>
          <w:iCs/>
          <w:sz w:val="24"/>
        </w:rPr>
        <w:t xml:space="preserve"> </w:t>
      </w:r>
      <m:oMath>
        <m:r>
          <m:rPr/>
          <w:rPr>
            <w:rFonts w:ascii="Cambria Math" w:hAnsi="Cambria Math"/>
            <w:sz w:val="24"/>
          </w:rPr>
          <m:t>∆</m:t>
        </m:r>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hint="eastAsia" w:ascii="Cambria Math" w:hAnsi="Cambria Math"/>
                <w:sz w:val="24"/>
              </w:rPr>
              <m:t>f</m:t>
            </m:r>
            <m:ctrlPr>
              <w:rPr>
                <w:rFonts w:ascii="Cambria Math" w:hAnsi="Cambria Math"/>
                <w:i/>
                <w:iCs/>
                <w:sz w:val="24"/>
              </w:rPr>
            </m:ctrlPr>
          </m:sub>
        </m:sSub>
        <m:r>
          <m:rPr/>
          <w:rPr>
            <w:rFonts w:ascii="Cambria Math" w:hAnsi="Cambria Math"/>
            <w:sz w:val="24"/>
          </w:rPr>
          <m:t>=</m:t>
        </m:r>
        <m:r>
          <m:rPr/>
          <w:rPr>
            <w:rFonts w:hint="eastAsia" w:ascii="Cambria Math" w:hAnsi="Cambria Math"/>
            <w:sz w:val="24"/>
          </w:rPr>
          <m:t>±</m:t>
        </m:r>
        <m:r>
          <m:rPr>
            <m:sty m:val="p"/>
          </m:rPr>
          <w:rPr>
            <w:rFonts w:ascii="Cambria Math" w:hAnsi="Cambria Math"/>
            <w:sz w:val="24"/>
          </w:rPr>
          <m:t>max(</m:t>
        </m:r>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ascii="Cambria Math" w:hAnsi="Cambria Math"/>
                <w:sz w:val="24"/>
              </w:rPr>
              <m:t>max</m:t>
            </m:r>
            <m:ctrlPr>
              <w:rPr>
                <w:rFonts w:ascii="Cambria Math" w:hAnsi="Cambria Math"/>
                <w:i/>
                <w:iCs/>
                <w:sz w:val="24"/>
              </w:rPr>
            </m:ctrlPr>
          </m:sub>
        </m:sSub>
        <m:r>
          <m:rPr>
            <m:sty m:val="p"/>
          </m:rPr>
          <w:rPr>
            <w:rFonts w:ascii="Cambria Math" w:hAnsi="Cambria Math"/>
            <w:sz w:val="24"/>
          </w:rPr>
          <m:t>−</m:t>
        </m:r>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ascii="Cambria Math" w:hAnsi="Cambria Math"/>
                <w:sz w:val="24"/>
              </w:rPr>
              <m:t>min</m:t>
            </m:r>
            <m:ctrlPr>
              <w:rPr>
                <w:rFonts w:ascii="Cambria Math" w:hAnsi="Cambria Math"/>
                <w:i/>
                <w:iCs/>
                <w:sz w:val="24"/>
              </w:rPr>
            </m:ctrlPr>
          </m:sub>
        </m:sSub>
        <m:r>
          <m:rPr>
            <m:sty m:val="p"/>
          </m:rPr>
          <w:rPr>
            <w:rFonts w:ascii="Cambria Math" w:hAnsi="Cambria Math"/>
            <w:sz w:val="24"/>
          </w:rPr>
          <m:t>)/2</m:t>
        </m:r>
      </m:oMath>
      <w:r>
        <w:rPr>
          <w:rFonts w:hint="eastAsia"/>
          <w:i/>
          <w:iCs/>
          <w:sz w:val="24"/>
        </w:rPr>
        <w:t xml:space="preserve">      </w:t>
      </w:r>
      <w:r>
        <w:rPr>
          <w:sz w:val="24"/>
        </w:rPr>
        <w:tab/>
      </w:r>
      <w:r>
        <w:rPr>
          <w:sz w:val="24"/>
        </w:rPr>
        <w:tab/>
      </w:r>
      <w:r>
        <w:rPr>
          <w:sz w:val="24"/>
        </w:rPr>
        <w:tab/>
      </w:r>
      <w:r>
        <w:rPr>
          <w:sz w:val="24"/>
        </w:rPr>
        <w:tab/>
      </w:r>
      <w:r>
        <w:rPr>
          <w:rFonts w:hint="eastAsia"/>
          <w:sz w:val="24"/>
        </w:rPr>
        <w:t>(6)</w:t>
      </w:r>
    </w:p>
    <w:p w14:paraId="04E98077">
      <w:pPr>
        <w:tabs>
          <w:tab w:val="left" w:pos="540"/>
        </w:tabs>
        <w:autoSpaceDE w:val="0"/>
        <w:autoSpaceDN w:val="0"/>
        <w:adjustRightInd w:val="0"/>
        <w:spacing w:line="360" w:lineRule="auto"/>
        <w:ind w:firstLine="480" w:firstLineChars="200"/>
        <w:rPr>
          <w:sz w:val="24"/>
        </w:rPr>
      </w:pPr>
      <w:r>
        <w:rPr>
          <w:sz w:val="24"/>
        </w:rPr>
        <w:t>式中：</w:t>
      </w:r>
    </w:p>
    <w:p w14:paraId="199AF697">
      <w:pPr>
        <w:tabs>
          <w:tab w:val="left" w:pos="540"/>
        </w:tabs>
        <w:autoSpaceDE w:val="0"/>
        <w:autoSpaceDN w:val="0"/>
        <w:adjustRightInd w:val="0"/>
        <w:spacing w:line="360" w:lineRule="auto"/>
        <w:ind w:firstLine="420" w:firstLineChars="200"/>
        <w:rPr>
          <w:sz w:val="24"/>
        </w:rPr>
      </w:pPr>
      <w:r>
        <w:tab/>
      </w:r>
      <w:r>
        <w:tab/>
      </w:r>
      <m:oMath>
        <m:r>
          <m:rPr/>
          <w:rPr>
            <w:rFonts w:ascii="Cambria Math" w:hAnsi="Cambria Math"/>
            <w:sz w:val="24"/>
          </w:rPr>
          <m:t>∆</m:t>
        </m:r>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hint="eastAsia" w:ascii="Cambria Math" w:hAnsi="Cambria Math"/>
                <w:sz w:val="24"/>
              </w:rPr>
              <m:t>f</m:t>
            </m:r>
            <m:ctrlPr>
              <w:rPr>
                <w:rFonts w:ascii="Cambria Math" w:hAnsi="Cambria Math"/>
                <w:i/>
                <w:iCs/>
                <w:sz w:val="24"/>
              </w:rPr>
            </m:ctrlPr>
          </m:sub>
        </m:sSub>
      </m:oMath>
      <w:r>
        <w:rPr>
          <w:sz w:val="24"/>
        </w:rPr>
        <w:t>——</w:t>
      </w:r>
      <w:r>
        <w:rPr>
          <w:rFonts w:hint="eastAsia"/>
          <w:sz w:val="24"/>
        </w:rPr>
        <w:t>温度波动度</w:t>
      </w:r>
      <w:r>
        <w:rPr>
          <w:sz w:val="24"/>
        </w:rPr>
        <w:t>，℃；</w:t>
      </w:r>
    </w:p>
    <w:p w14:paraId="4254798F">
      <w:pPr>
        <w:tabs>
          <w:tab w:val="left" w:pos="540"/>
        </w:tabs>
        <w:autoSpaceDE w:val="0"/>
        <w:autoSpaceDN w:val="0"/>
        <w:adjustRightInd w:val="0"/>
        <w:spacing w:line="360" w:lineRule="auto"/>
        <w:ind w:firstLine="480" w:firstLineChars="200"/>
        <w:rPr>
          <w:sz w:val="24"/>
        </w:rPr>
      </w:pPr>
      <w:r>
        <w:rPr>
          <w:iCs/>
          <w:sz w:val="24"/>
        </w:rPr>
        <w:tab/>
      </w:r>
      <w:r>
        <w:rPr>
          <w:iCs/>
          <w:sz w:val="24"/>
        </w:rPr>
        <w:tab/>
      </w:r>
      <m:oMath>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ascii="Cambria Math" w:hAnsi="Cambria Math"/>
                <w:sz w:val="24"/>
              </w:rPr>
              <m:t>max</m:t>
            </m:r>
            <m:ctrlPr>
              <w:rPr>
                <w:rFonts w:ascii="Cambria Math" w:hAnsi="Cambria Math"/>
                <w:i/>
                <w:iCs/>
                <w:sz w:val="24"/>
              </w:rPr>
            </m:ctrlPr>
          </m:sub>
        </m:sSub>
      </m:oMath>
      <w:r>
        <w:rPr>
          <w:sz w:val="24"/>
        </w:rPr>
        <w:t>——采集的</w:t>
      </w:r>
      <w:r>
        <w:rPr>
          <w:rFonts w:hint="eastAsia"/>
          <w:sz w:val="24"/>
        </w:rPr>
        <w:t>16</w:t>
      </w:r>
      <w:r>
        <w:rPr>
          <w:sz w:val="24"/>
        </w:rPr>
        <w:t>组温度</w:t>
      </w:r>
      <w:r>
        <w:rPr>
          <w:rFonts w:hint="eastAsia"/>
          <w:sz w:val="24"/>
        </w:rPr>
        <w:t>中的最大值</w:t>
      </w:r>
      <w:r>
        <w:rPr>
          <w:sz w:val="24"/>
        </w:rPr>
        <w:t>，℃；</w:t>
      </w:r>
    </w:p>
    <w:p w14:paraId="5553408F">
      <w:pPr>
        <w:tabs>
          <w:tab w:val="left" w:pos="540"/>
        </w:tabs>
        <w:autoSpaceDE w:val="0"/>
        <w:autoSpaceDN w:val="0"/>
        <w:adjustRightInd w:val="0"/>
        <w:spacing w:line="360" w:lineRule="auto"/>
        <w:ind w:firstLine="480" w:firstLineChars="200"/>
        <w:rPr>
          <w:rStyle w:val="27"/>
          <w:b w:val="0"/>
          <w:bCs w:val="0"/>
          <w:sz w:val="24"/>
        </w:rPr>
      </w:pPr>
      <w:r>
        <w:rPr>
          <w:iCs/>
          <w:sz w:val="24"/>
        </w:rPr>
        <w:tab/>
      </w:r>
      <w:r>
        <w:rPr>
          <w:iCs/>
          <w:sz w:val="24"/>
        </w:rPr>
        <w:tab/>
      </w:r>
      <m:oMath>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hint="eastAsia" w:ascii="Cambria Math" w:hAnsi="Cambria Math"/>
                <w:sz w:val="24"/>
              </w:rPr>
              <m:t>min</m:t>
            </m:r>
            <m:ctrlPr>
              <w:rPr>
                <w:rFonts w:ascii="Cambria Math" w:hAnsi="Cambria Math"/>
                <w:i/>
                <w:iCs/>
                <w:sz w:val="24"/>
              </w:rPr>
            </m:ctrlPr>
          </m:sub>
        </m:sSub>
      </m:oMath>
      <w:r>
        <w:rPr>
          <w:sz w:val="24"/>
        </w:rPr>
        <w:t>——采集的</w:t>
      </w:r>
      <w:r>
        <w:rPr>
          <w:rFonts w:hint="eastAsia"/>
          <w:sz w:val="24"/>
        </w:rPr>
        <w:t>16</w:t>
      </w:r>
      <w:r>
        <w:rPr>
          <w:sz w:val="24"/>
        </w:rPr>
        <w:t>组温度</w:t>
      </w:r>
      <w:r>
        <w:rPr>
          <w:rFonts w:hint="eastAsia"/>
          <w:sz w:val="24"/>
        </w:rPr>
        <w:t>中的最小值</w:t>
      </w:r>
      <w:r>
        <w:rPr>
          <w:sz w:val="24"/>
        </w:rPr>
        <w:t>，℃。</w:t>
      </w:r>
    </w:p>
    <w:bookmarkEnd w:id="72"/>
    <w:p w14:paraId="53F74CB7">
      <w:pPr>
        <w:snapToGrid w:val="0"/>
        <w:spacing w:beforeLines="50" w:line="360" w:lineRule="auto"/>
        <w:jc w:val="left"/>
        <w:rPr>
          <w:sz w:val="24"/>
        </w:rPr>
      </w:pPr>
      <w:bookmarkStart w:id="73" w:name="_Toc13857"/>
      <w:bookmarkStart w:id="74" w:name="_Toc12042"/>
      <w:bookmarkStart w:id="75" w:name="_Toc12349"/>
      <w:r>
        <w:rPr>
          <w:rFonts w:hint="eastAsia" w:eastAsia="黑体"/>
          <w:sz w:val="24"/>
        </w:rPr>
        <w:t>8</w:t>
      </w:r>
      <w:r>
        <w:rPr>
          <w:rFonts w:eastAsia="黑体"/>
          <w:sz w:val="24"/>
        </w:rPr>
        <w:t xml:space="preserve"> 校准结果表达</w:t>
      </w:r>
      <w:bookmarkEnd w:id="73"/>
      <w:bookmarkEnd w:id="74"/>
      <w:bookmarkEnd w:id="75"/>
    </w:p>
    <w:p w14:paraId="02410A51">
      <w:pPr>
        <w:spacing w:line="360" w:lineRule="auto"/>
        <w:ind w:firstLine="480" w:firstLineChars="200"/>
        <w:rPr>
          <w:sz w:val="24"/>
        </w:rPr>
      </w:pPr>
      <w:r>
        <w:rPr>
          <w:sz w:val="24"/>
        </w:rPr>
        <w:t xml:space="preserve">  校准结束后应出具校准证书。校准证书应准确、客观地报告校准结果，校准结果以校准数据的形式给出。校准证书应包括委托方要求的、说明校准结果所必需的和所用方法要求的全部信息，主要包括：</w:t>
      </w:r>
    </w:p>
    <w:p w14:paraId="1B887248">
      <w:pPr>
        <w:numPr>
          <w:ilvl w:val="0"/>
          <w:numId w:val="2"/>
        </w:numPr>
        <w:spacing w:line="360" w:lineRule="auto"/>
        <w:rPr>
          <w:sz w:val="24"/>
        </w:rPr>
      </w:pPr>
      <w:r>
        <w:rPr>
          <w:sz w:val="24"/>
        </w:rPr>
        <w:t xml:space="preserve">    a) 标题；</w:t>
      </w:r>
    </w:p>
    <w:p w14:paraId="40B92B5E">
      <w:pPr>
        <w:numPr>
          <w:ilvl w:val="0"/>
          <w:numId w:val="2"/>
        </w:numPr>
        <w:spacing w:line="360" w:lineRule="auto"/>
        <w:rPr>
          <w:sz w:val="24"/>
        </w:rPr>
      </w:pPr>
      <w:r>
        <w:rPr>
          <w:sz w:val="24"/>
        </w:rPr>
        <w:t xml:space="preserve">    b) 实验室名称和地址；</w:t>
      </w:r>
    </w:p>
    <w:p w14:paraId="267846C4">
      <w:pPr>
        <w:numPr>
          <w:ilvl w:val="0"/>
          <w:numId w:val="2"/>
        </w:numPr>
        <w:spacing w:line="360" w:lineRule="auto"/>
        <w:rPr>
          <w:sz w:val="24"/>
        </w:rPr>
      </w:pPr>
      <w:r>
        <w:rPr>
          <w:sz w:val="24"/>
        </w:rPr>
        <w:t xml:space="preserve">    c) 进行校准的地点（如果与实验室的地址不同）；</w:t>
      </w:r>
    </w:p>
    <w:p w14:paraId="57FC0C7B">
      <w:pPr>
        <w:numPr>
          <w:ilvl w:val="0"/>
          <w:numId w:val="2"/>
        </w:numPr>
        <w:spacing w:line="360" w:lineRule="auto"/>
        <w:rPr>
          <w:sz w:val="24"/>
        </w:rPr>
      </w:pPr>
      <w:r>
        <w:rPr>
          <w:sz w:val="24"/>
        </w:rPr>
        <w:t xml:space="preserve">    d) 证书的唯一性标识（如编号），每页及总页数的标识；</w:t>
      </w:r>
    </w:p>
    <w:p w14:paraId="65AE90A1">
      <w:pPr>
        <w:numPr>
          <w:ilvl w:val="0"/>
          <w:numId w:val="2"/>
        </w:numPr>
        <w:snapToGrid w:val="0"/>
        <w:spacing w:line="360" w:lineRule="auto"/>
        <w:rPr>
          <w:sz w:val="24"/>
        </w:rPr>
      </w:pPr>
      <w:r>
        <w:rPr>
          <w:sz w:val="24"/>
        </w:rPr>
        <w:t xml:space="preserve">    e) 客户名称和地址；</w:t>
      </w:r>
    </w:p>
    <w:p w14:paraId="17983A90">
      <w:pPr>
        <w:numPr>
          <w:ilvl w:val="0"/>
          <w:numId w:val="2"/>
        </w:numPr>
        <w:snapToGrid w:val="0"/>
        <w:spacing w:line="360" w:lineRule="auto"/>
        <w:rPr>
          <w:sz w:val="24"/>
        </w:rPr>
      </w:pPr>
      <w:r>
        <w:rPr>
          <w:sz w:val="24"/>
        </w:rPr>
        <w:t xml:space="preserve">    f) 被校仪器的制造单位、名称、型号及编号；</w:t>
      </w:r>
    </w:p>
    <w:p w14:paraId="75C76BDD">
      <w:pPr>
        <w:numPr>
          <w:ilvl w:val="0"/>
          <w:numId w:val="2"/>
        </w:numPr>
        <w:snapToGrid w:val="0"/>
        <w:spacing w:line="360" w:lineRule="auto"/>
        <w:rPr>
          <w:sz w:val="24"/>
        </w:rPr>
      </w:pPr>
      <w:r>
        <w:rPr>
          <w:sz w:val="24"/>
        </w:rPr>
        <w:t xml:space="preserve">    g) 进行校准的日期，如果与校准结果的有效性和应用有关时，应说明被校对象的接受日期；</w:t>
      </w:r>
    </w:p>
    <w:p w14:paraId="7EF64C13">
      <w:pPr>
        <w:numPr>
          <w:ilvl w:val="0"/>
          <w:numId w:val="2"/>
        </w:numPr>
        <w:snapToGrid w:val="0"/>
        <w:spacing w:line="360" w:lineRule="auto"/>
        <w:rPr>
          <w:sz w:val="24"/>
        </w:rPr>
      </w:pPr>
      <w:r>
        <w:rPr>
          <w:sz w:val="24"/>
        </w:rPr>
        <w:t xml:space="preserve">    h) 如果与校准结果的有效性应用有关时，应对被校样品的抽样程序进行说明；</w:t>
      </w:r>
    </w:p>
    <w:p w14:paraId="1FF57258">
      <w:pPr>
        <w:numPr>
          <w:ilvl w:val="0"/>
          <w:numId w:val="2"/>
        </w:numPr>
        <w:snapToGrid w:val="0"/>
        <w:spacing w:line="360" w:lineRule="auto"/>
        <w:rPr>
          <w:sz w:val="24"/>
        </w:rPr>
      </w:pPr>
      <w:r>
        <w:rPr>
          <w:sz w:val="24"/>
        </w:rPr>
        <w:t xml:space="preserve">    i）校准所依据的技术规范的标识，包括名称及代号；</w:t>
      </w:r>
    </w:p>
    <w:p w14:paraId="19178967">
      <w:pPr>
        <w:numPr>
          <w:ilvl w:val="0"/>
          <w:numId w:val="2"/>
        </w:numPr>
        <w:snapToGrid w:val="0"/>
        <w:spacing w:line="360" w:lineRule="auto"/>
        <w:rPr>
          <w:sz w:val="24"/>
        </w:rPr>
      </w:pPr>
      <w:r>
        <w:rPr>
          <w:sz w:val="24"/>
        </w:rPr>
        <w:t xml:space="preserve">    j) 本次校准所用测量标准的溯源性及有效性说明；</w:t>
      </w:r>
    </w:p>
    <w:p w14:paraId="762EE246">
      <w:pPr>
        <w:numPr>
          <w:ilvl w:val="0"/>
          <w:numId w:val="2"/>
        </w:numPr>
        <w:snapToGrid w:val="0"/>
        <w:spacing w:line="360" w:lineRule="auto"/>
        <w:rPr>
          <w:sz w:val="24"/>
        </w:rPr>
      </w:pPr>
      <w:r>
        <w:rPr>
          <w:sz w:val="24"/>
        </w:rPr>
        <w:t xml:space="preserve">    k) 校准环境的描述；</w:t>
      </w:r>
    </w:p>
    <w:p w14:paraId="708141A6">
      <w:pPr>
        <w:numPr>
          <w:ilvl w:val="0"/>
          <w:numId w:val="2"/>
        </w:numPr>
        <w:spacing w:line="360" w:lineRule="auto"/>
        <w:rPr>
          <w:sz w:val="24"/>
        </w:rPr>
      </w:pPr>
      <w:r>
        <w:rPr>
          <w:sz w:val="24"/>
        </w:rPr>
        <w:t xml:space="preserve">    l) 校准结果及其测量不确定度的说明；</w:t>
      </w:r>
    </w:p>
    <w:p w14:paraId="241DAE74">
      <w:pPr>
        <w:numPr>
          <w:ilvl w:val="0"/>
          <w:numId w:val="2"/>
        </w:numPr>
        <w:spacing w:line="360" w:lineRule="auto"/>
        <w:rPr>
          <w:sz w:val="24"/>
        </w:rPr>
      </w:pPr>
      <w:r>
        <w:rPr>
          <w:sz w:val="24"/>
        </w:rPr>
        <w:t xml:space="preserve">    m) 对校准规范的偏离的说明（如有）；</w:t>
      </w:r>
    </w:p>
    <w:p w14:paraId="78DB0DCF">
      <w:pPr>
        <w:numPr>
          <w:ilvl w:val="0"/>
          <w:numId w:val="2"/>
        </w:numPr>
        <w:spacing w:line="360" w:lineRule="auto"/>
        <w:rPr>
          <w:sz w:val="24"/>
        </w:rPr>
      </w:pPr>
      <w:r>
        <w:rPr>
          <w:sz w:val="24"/>
        </w:rPr>
        <w:t xml:space="preserve">    n）校准证书或校准报告签发人的签名、职务或等效标识；</w:t>
      </w:r>
    </w:p>
    <w:p w14:paraId="6EEA8A69">
      <w:pPr>
        <w:numPr>
          <w:ilvl w:val="0"/>
          <w:numId w:val="2"/>
        </w:numPr>
        <w:spacing w:line="360" w:lineRule="auto"/>
        <w:rPr>
          <w:sz w:val="24"/>
        </w:rPr>
      </w:pPr>
      <w:r>
        <w:rPr>
          <w:sz w:val="24"/>
        </w:rPr>
        <w:t xml:space="preserve">    o) 校准结果仅对被校对象有效的声明；</w:t>
      </w:r>
    </w:p>
    <w:p w14:paraId="6F25D268">
      <w:pPr>
        <w:numPr>
          <w:ilvl w:val="0"/>
          <w:numId w:val="2"/>
        </w:numPr>
        <w:spacing w:line="360" w:lineRule="auto"/>
        <w:rPr>
          <w:sz w:val="24"/>
        </w:rPr>
      </w:pPr>
      <w:r>
        <w:rPr>
          <w:sz w:val="24"/>
        </w:rPr>
        <w:t xml:space="preserve">    p) 未经实验室书面批准，不得部分复制证书的声明。</w:t>
      </w:r>
    </w:p>
    <w:p w14:paraId="3F279271">
      <w:pPr>
        <w:pStyle w:val="2"/>
        <w:spacing w:beforeLines="50" w:after="0" w:line="360" w:lineRule="auto"/>
        <w:rPr>
          <w:rFonts w:eastAsia="黑体"/>
          <w:b w:val="0"/>
          <w:sz w:val="24"/>
          <w:szCs w:val="24"/>
        </w:rPr>
      </w:pPr>
      <w:bookmarkStart w:id="76" w:name="_Toc184839122"/>
      <w:bookmarkStart w:id="77" w:name="_Toc24365"/>
      <w:bookmarkStart w:id="78" w:name="_Toc96"/>
      <w:bookmarkStart w:id="79" w:name="_Toc342"/>
      <w:r>
        <w:rPr>
          <w:rFonts w:hint="eastAsia" w:eastAsia="黑体"/>
          <w:b w:val="0"/>
          <w:sz w:val="24"/>
          <w:szCs w:val="24"/>
        </w:rPr>
        <w:t>9</w:t>
      </w:r>
      <w:r>
        <w:rPr>
          <w:rFonts w:eastAsia="黑体"/>
          <w:b w:val="0"/>
          <w:sz w:val="24"/>
          <w:szCs w:val="24"/>
        </w:rPr>
        <w:t xml:space="preserve"> 复校时间间隔</w:t>
      </w:r>
      <w:bookmarkEnd w:id="76"/>
      <w:bookmarkEnd w:id="77"/>
      <w:bookmarkEnd w:id="78"/>
      <w:bookmarkEnd w:id="79"/>
    </w:p>
    <w:p w14:paraId="558FAD95">
      <w:pPr>
        <w:tabs>
          <w:tab w:val="left" w:pos="540"/>
        </w:tabs>
        <w:autoSpaceDE w:val="0"/>
        <w:autoSpaceDN w:val="0"/>
        <w:adjustRightInd w:val="0"/>
        <w:spacing w:line="360" w:lineRule="auto"/>
        <w:ind w:firstLine="480" w:firstLineChars="200"/>
        <w:rPr>
          <w:sz w:val="24"/>
        </w:rPr>
      </w:pPr>
      <w:r>
        <w:rPr>
          <w:sz w:val="24"/>
        </w:rPr>
        <w:t>复校时间间隔由</w:t>
      </w:r>
      <w:r>
        <w:rPr>
          <w:rFonts w:hint="eastAsia"/>
          <w:sz w:val="24"/>
        </w:rPr>
        <w:t>锂离子</w:t>
      </w:r>
      <w:r>
        <w:rPr>
          <w:sz w:val="24"/>
        </w:rPr>
        <w:t>电池</w:t>
      </w:r>
      <w:r>
        <w:rPr>
          <w:rFonts w:hint="eastAsia"/>
          <w:sz w:val="24"/>
        </w:rPr>
        <w:t>电芯</w:t>
      </w:r>
      <w:r>
        <w:rPr>
          <w:sz w:val="24"/>
        </w:rPr>
        <w:t>热参数测试仪的使用状况、使用者、仪器本身质量等诸因素决定，送校单位可根据仪器实际使用情况自主决定复校时间间隔。建议复校时间间隔不超过1年。</w:t>
      </w:r>
    </w:p>
    <w:p w14:paraId="12BDDB73">
      <w:pPr>
        <w:tabs>
          <w:tab w:val="left" w:pos="540"/>
        </w:tabs>
        <w:autoSpaceDE w:val="0"/>
        <w:autoSpaceDN w:val="0"/>
        <w:adjustRightInd w:val="0"/>
        <w:spacing w:line="360" w:lineRule="auto"/>
        <w:rPr>
          <w:szCs w:val="21"/>
        </w:rPr>
        <w:sectPr>
          <w:footerReference r:id="rId14" w:type="default"/>
          <w:pgSz w:w="12240" w:h="15840"/>
          <w:pgMar w:top="1440" w:right="1797" w:bottom="1440" w:left="1797" w:header="720" w:footer="720" w:gutter="0"/>
          <w:cols w:space="720" w:num="1"/>
        </w:sectPr>
      </w:pPr>
    </w:p>
    <w:p w14:paraId="2461582C">
      <w:pPr>
        <w:pStyle w:val="2"/>
        <w:spacing w:before="0" w:after="0" w:line="360" w:lineRule="auto"/>
        <w:rPr>
          <w:rFonts w:eastAsia="黑体"/>
          <w:b w:val="0"/>
          <w:sz w:val="28"/>
          <w:szCs w:val="28"/>
        </w:rPr>
      </w:pPr>
      <w:bookmarkStart w:id="80" w:name="_Toc126153627"/>
      <w:bookmarkStart w:id="81" w:name="_Toc21311"/>
      <w:bookmarkStart w:id="82" w:name="_Toc30340"/>
      <w:bookmarkStart w:id="83" w:name="_Toc24877"/>
      <w:bookmarkStart w:id="84" w:name="_Toc32416"/>
      <w:r>
        <w:rPr>
          <w:rFonts w:hint="eastAsia" w:eastAsia="黑体"/>
          <w:b w:val="0"/>
          <w:sz w:val="28"/>
          <w:szCs w:val="28"/>
        </w:rPr>
        <w:t>附</w:t>
      </w:r>
      <w:r>
        <w:rPr>
          <w:rFonts w:hint="eastAsia" w:ascii="黑体" w:hAnsi="黑体" w:eastAsia="黑体"/>
          <w:b w:val="0"/>
          <w:sz w:val="28"/>
          <w:szCs w:val="28"/>
        </w:rPr>
        <w:t>录</w:t>
      </w:r>
      <w:r>
        <w:rPr>
          <w:rFonts w:ascii="黑体" w:hAnsi="黑体" w:eastAsia="黑体"/>
          <w:b w:val="0"/>
          <w:sz w:val="28"/>
          <w:szCs w:val="28"/>
        </w:rPr>
        <w:t>A</w:t>
      </w:r>
      <w:bookmarkEnd w:id="80"/>
    </w:p>
    <w:p w14:paraId="7A1221BD">
      <w:pPr>
        <w:spacing w:line="360" w:lineRule="auto"/>
        <w:jc w:val="center"/>
        <w:rPr>
          <w:color w:val="000000"/>
          <w:sz w:val="28"/>
          <w:szCs w:val="28"/>
        </w:rPr>
      </w:pPr>
      <w:bookmarkStart w:id="85" w:name="_Toc70969041"/>
      <w:bookmarkStart w:id="86" w:name="_Toc493596855"/>
      <w:bookmarkStart w:id="87" w:name="_Toc88055588"/>
      <w:bookmarkStart w:id="88" w:name="_Toc72420866"/>
      <w:bookmarkStart w:id="89" w:name="_Toc48315523"/>
      <w:bookmarkStart w:id="90" w:name="_Toc532205218"/>
      <w:bookmarkStart w:id="91" w:name="_Toc48314537"/>
      <w:r>
        <w:rPr>
          <w:rFonts w:eastAsia="黑体"/>
          <w:color w:val="000000"/>
          <w:sz w:val="28"/>
          <w:szCs w:val="28"/>
        </w:rPr>
        <w:t>校准原始记录格式</w:t>
      </w:r>
    </w:p>
    <w:bookmarkEnd w:id="85"/>
    <w:bookmarkEnd w:id="86"/>
    <w:bookmarkEnd w:id="87"/>
    <w:bookmarkEnd w:id="88"/>
    <w:bookmarkEnd w:id="89"/>
    <w:bookmarkEnd w:id="90"/>
    <w:bookmarkEnd w:id="91"/>
    <w:p w14:paraId="7A590DD8">
      <w:pPr>
        <w:rPr>
          <w:sz w:val="28"/>
          <w:szCs w:val="28"/>
        </w:rPr>
      </w:pPr>
    </w:p>
    <w:p w14:paraId="47C856B3">
      <w:pPr>
        <w:pStyle w:val="9"/>
        <w:ind w:firstLine="480"/>
        <w:jc w:val="center"/>
        <w:rPr>
          <w:sz w:val="24"/>
        </w:rPr>
      </w:pPr>
      <w:r>
        <w:rPr>
          <w:rFonts w:hint="eastAsia"/>
          <w:sz w:val="24"/>
        </w:rPr>
        <w:t>锂离子</w:t>
      </w:r>
      <w:r>
        <w:rPr>
          <w:sz w:val="24"/>
        </w:rPr>
        <w:t>电池</w:t>
      </w:r>
      <w:r>
        <w:rPr>
          <w:rFonts w:hint="eastAsia"/>
          <w:sz w:val="24"/>
        </w:rPr>
        <w:t>电芯</w:t>
      </w:r>
      <w:r>
        <w:rPr>
          <w:sz w:val="24"/>
        </w:rPr>
        <w:t>热参数测试仪校准记录</w:t>
      </w:r>
    </w:p>
    <w:p w14:paraId="21B859BB">
      <w:pPr>
        <w:pStyle w:val="9"/>
        <w:ind w:firstLine="480"/>
        <w:jc w:val="center"/>
        <w:rPr>
          <w:sz w:val="24"/>
        </w:rPr>
      </w:pPr>
    </w:p>
    <w:p w14:paraId="6DBA811D">
      <w:pPr>
        <w:pStyle w:val="9"/>
      </w:pPr>
      <w:r>
        <w:t xml:space="preserve">共  页     第  页                                    证书编号：                                                    </w:t>
      </w:r>
    </w:p>
    <w:tbl>
      <w:tblPr>
        <w:tblStyle w:val="20"/>
        <w:tblW w:w="92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4"/>
        <w:gridCol w:w="1324"/>
        <w:gridCol w:w="267"/>
        <w:gridCol w:w="1584"/>
        <w:gridCol w:w="121"/>
        <w:gridCol w:w="1478"/>
        <w:gridCol w:w="132"/>
        <w:gridCol w:w="1460"/>
        <w:gridCol w:w="1617"/>
      </w:tblGrid>
      <w:tr w14:paraId="20987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Align w:val="center"/>
          </w:tcPr>
          <w:p w14:paraId="70F5C2F0">
            <w:pPr>
              <w:widowControl/>
              <w:spacing w:line="280" w:lineRule="exact"/>
              <w:jc w:val="center"/>
              <w:rPr>
                <w:sz w:val="24"/>
              </w:rPr>
            </w:pPr>
            <w:r>
              <w:rPr>
                <w:sz w:val="24"/>
              </w:rPr>
              <w:t>客户名称</w:t>
            </w:r>
          </w:p>
        </w:tc>
        <w:tc>
          <w:tcPr>
            <w:tcW w:w="3296" w:type="dxa"/>
            <w:gridSpan w:val="4"/>
            <w:vAlign w:val="center"/>
          </w:tcPr>
          <w:p w14:paraId="4C49242A">
            <w:pPr>
              <w:widowControl/>
              <w:spacing w:line="280" w:lineRule="exact"/>
              <w:jc w:val="center"/>
              <w:rPr>
                <w:sz w:val="24"/>
              </w:rPr>
            </w:pPr>
          </w:p>
        </w:tc>
        <w:tc>
          <w:tcPr>
            <w:tcW w:w="1610" w:type="dxa"/>
            <w:gridSpan w:val="2"/>
            <w:vAlign w:val="center"/>
          </w:tcPr>
          <w:p w14:paraId="1372C879">
            <w:pPr>
              <w:widowControl/>
              <w:spacing w:line="280" w:lineRule="exact"/>
              <w:jc w:val="center"/>
              <w:rPr>
                <w:sz w:val="24"/>
              </w:rPr>
            </w:pPr>
            <w:r>
              <w:rPr>
                <w:sz w:val="24"/>
              </w:rPr>
              <w:t>委托日期</w:t>
            </w:r>
          </w:p>
        </w:tc>
        <w:tc>
          <w:tcPr>
            <w:tcW w:w="3077" w:type="dxa"/>
            <w:gridSpan w:val="2"/>
            <w:vAlign w:val="center"/>
          </w:tcPr>
          <w:p w14:paraId="4F8DCAA9">
            <w:pPr>
              <w:widowControl/>
              <w:spacing w:line="280" w:lineRule="exact"/>
              <w:jc w:val="center"/>
              <w:rPr>
                <w:sz w:val="24"/>
              </w:rPr>
            </w:pPr>
          </w:p>
        </w:tc>
      </w:tr>
      <w:tr w14:paraId="392C36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Align w:val="center"/>
          </w:tcPr>
          <w:p w14:paraId="315ACD66">
            <w:pPr>
              <w:widowControl/>
              <w:spacing w:line="280" w:lineRule="exact"/>
              <w:jc w:val="center"/>
              <w:rPr>
                <w:sz w:val="24"/>
              </w:rPr>
            </w:pPr>
            <w:r>
              <w:rPr>
                <w:sz w:val="24"/>
              </w:rPr>
              <w:t xml:space="preserve">客户地址 </w:t>
            </w:r>
          </w:p>
        </w:tc>
        <w:tc>
          <w:tcPr>
            <w:tcW w:w="3296" w:type="dxa"/>
            <w:gridSpan w:val="4"/>
            <w:vAlign w:val="center"/>
          </w:tcPr>
          <w:p w14:paraId="53B2FD1A">
            <w:pPr>
              <w:widowControl/>
              <w:spacing w:line="280" w:lineRule="exact"/>
              <w:jc w:val="center"/>
              <w:rPr>
                <w:sz w:val="24"/>
              </w:rPr>
            </w:pPr>
          </w:p>
        </w:tc>
        <w:tc>
          <w:tcPr>
            <w:tcW w:w="1610" w:type="dxa"/>
            <w:gridSpan w:val="2"/>
            <w:vAlign w:val="center"/>
          </w:tcPr>
          <w:p w14:paraId="2FF40DE1">
            <w:pPr>
              <w:widowControl/>
              <w:spacing w:line="280" w:lineRule="exact"/>
              <w:jc w:val="center"/>
              <w:rPr>
                <w:sz w:val="24"/>
              </w:rPr>
            </w:pPr>
            <w:r>
              <w:rPr>
                <w:sz w:val="24"/>
              </w:rPr>
              <w:t>校准日期</w:t>
            </w:r>
          </w:p>
        </w:tc>
        <w:tc>
          <w:tcPr>
            <w:tcW w:w="3077" w:type="dxa"/>
            <w:gridSpan w:val="2"/>
            <w:vAlign w:val="center"/>
          </w:tcPr>
          <w:p w14:paraId="47542B19">
            <w:pPr>
              <w:widowControl/>
              <w:spacing w:line="280" w:lineRule="exact"/>
              <w:jc w:val="center"/>
              <w:rPr>
                <w:sz w:val="24"/>
              </w:rPr>
            </w:pPr>
          </w:p>
        </w:tc>
      </w:tr>
      <w:tr w14:paraId="646F4F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Merge w:val="restart"/>
            <w:vAlign w:val="center"/>
          </w:tcPr>
          <w:p w14:paraId="6007F059">
            <w:pPr>
              <w:widowControl/>
              <w:spacing w:line="280" w:lineRule="exact"/>
              <w:jc w:val="center"/>
              <w:rPr>
                <w:sz w:val="24"/>
              </w:rPr>
            </w:pPr>
            <w:r>
              <w:rPr>
                <w:sz w:val="24"/>
              </w:rPr>
              <w:t>被  校</w:t>
            </w:r>
          </w:p>
          <w:p w14:paraId="6B38D7DA">
            <w:pPr>
              <w:widowControl/>
              <w:spacing w:line="280" w:lineRule="exact"/>
              <w:jc w:val="center"/>
              <w:rPr>
                <w:sz w:val="24"/>
              </w:rPr>
            </w:pPr>
            <w:r>
              <w:rPr>
                <w:sz w:val="24"/>
              </w:rPr>
              <w:t>器  具</w:t>
            </w:r>
          </w:p>
        </w:tc>
        <w:tc>
          <w:tcPr>
            <w:tcW w:w="1324" w:type="dxa"/>
            <w:vAlign w:val="center"/>
          </w:tcPr>
          <w:p w14:paraId="7756D06B">
            <w:pPr>
              <w:widowControl/>
              <w:spacing w:line="280" w:lineRule="exact"/>
              <w:jc w:val="center"/>
              <w:rPr>
                <w:sz w:val="24"/>
              </w:rPr>
            </w:pPr>
            <w:r>
              <w:rPr>
                <w:sz w:val="24"/>
              </w:rPr>
              <w:t>名    称</w:t>
            </w:r>
          </w:p>
        </w:tc>
        <w:tc>
          <w:tcPr>
            <w:tcW w:w="3582" w:type="dxa"/>
            <w:gridSpan w:val="5"/>
            <w:vAlign w:val="center"/>
          </w:tcPr>
          <w:p w14:paraId="5E8CB624">
            <w:pPr>
              <w:widowControl/>
              <w:spacing w:line="280" w:lineRule="exact"/>
              <w:jc w:val="center"/>
              <w:rPr>
                <w:sz w:val="24"/>
              </w:rPr>
            </w:pPr>
          </w:p>
        </w:tc>
        <w:tc>
          <w:tcPr>
            <w:tcW w:w="1460" w:type="dxa"/>
            <w:vAlign w:val="center"/>
          </w:tcPr>
          <w:p w14:paraId="15B9C7F7">
            <w:pPr>
              <w:widowControl/>
              <w:spacing w:line="280" w:lineRule="exact"/>
              <w:jc w:val="center"/>
              <w:rPr>
                <w:sz w:val="24"/>
              </w:rPr>
            </w:pPr>
            <w:r>
              <w:rPr>
                <w:sz w:val="24"/>
              </w:rPr>
              <w:t>型   号</w:t>
            </w:r>
          </w:p>
        </w:tc>
        <w:tc>
          <w:tcPr>
            <w:tcW w:w="1617" w:type="dxa"/>
            <w:vAlign w:val="center"/>
          </w:tcPr>
          <w:p w14:paraId="53B11D5E">
            <w:pPr>
              <w:widowControl/>
              <w:spacing w:line="280" w:lineRule="exact"/>
              <w:jc w:val="center"/>
              <w:rPr>
                <w:sz w:val="24"/>
              </w:rPr>
            </w:pPr>
          </w:p>
        </w:tc>
      </w:tr>
      <w:tr w14:paraId="052D5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Merge w:val="continue"/>
            <w:vAlign w:val="center"/>
          </w:tcPr>
          <w:p w14:paraId="5B4934D0">
            <w:pPr>
              <w:widowControl/>
              <w:spacing w:line="280" w:lineRule="exact"/>
              <w:jc w:val="center"/>
              <w:rPr>
                <w:sz w:val="24"/>
              </w:rPr>
            </w:pPr>
          </w:p>
        </w:tc>
        <w:tc>
          <w:tcPr>
            <w:tcW w:w="1324" w:type="dxa"/>
            <w:vAlign w:val="center"/>
          </w:tcPr>
          <w:p w14:paraId="16B00E1F">
            <w:pPr>
              <w:widowControl/>
              <w:spacing w:line="280" w:lineRule="exact"/>
              <w:jc w:val="center"/>
              <w:rPr>
                <w:sz w:val="24"/>
              </w:rPr>
            </w:pPr>
            <w:r>
              <w:rPr>
                <w:sz w:val="24"/>
              </w:rPr>
              <w:t>制造厂商</w:t>
            </w:r>
          </w:p>
        </w:tc>
        <w:tc>
          <w:tcPr>
            <w:tcW w:w="3582" w:type="dxa"/>
            <w:gridSpan w:val="5"/>
            <w:vAlign w:val="center"/>
          </w:tcPr>
          <w:p w14:paraId="535646A4">
            <w:pPr>
              <w:widowControl/>
              <w:spacing w:line="280" w:lineRule="exact"/>
              <w:jc w:val="center"/>
              <w:rPr>
                <w:sz w:val="24"/>
              </w:rPr>
            </w:pPr>
          </w:p>
        </w:tc>
        <w:tc>
          <w:tcPr>
            <w:tcW w:w="1460" w:type="dxa"/>
            <w:vAlign w:val="center"/>
          </w:tcPr>
          <w:p w14:paraId="12EC8F90">
            <w:pPr>
              <w:widowControl/>
              <w:spacing w:line="280" w:lineRule="exact"/>
              <w:jc w:val="center"/>
              <w:rPr>
                <w:sz w:val="24"/>
              </w:rPr>
            </w:pPr>
            <w:r>
              <w:rPr>
                <w:sz w:val="24"/>
              </w:rPr>
              <w:t>编   号</w:t>
            </w:r>
          </w:p>
        </w:tc>
        <w:tc>
          <w:tcPr>
            <w:tcW w:w="1617" w:type="dxa"/>
            <w:vAlign w:val="center"/>
          </w:tcPr>
          <w:p w14:paraId="28ED1613">
            <w:pPr>
              <w:widowControl/>
              <w:spacing w:line="280" w:lineRule="exact"/>
              <w:jc w:val="center"/>
              <w:rPr>
                <w:sz w:val="24"/>
              </w:rPr>
            </w:pPr>
          </w:p>
        </w:tc>
      </w:tr>
      <w:tr w14:paraId="50A1A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Align w:val="center"/>
          </w:tcPr>
          <w:p w14:paraId="52BAF1A4">
            <w:pPr>
              <w:widowControl/>
              <w:spacing w:line="280" w:lineRule="exact"/>
              <w:jc w:val="center"/>
              <w:rPr>
                <w:sz w:val="24"/>
              </w:rPr>
            </w:pPr>
            <w:r>
              <w:rPr>
                <w:sz w:val="24"/>
              </w:rPr>
              <w:t>依据标准</w:t>
            </w:r>
          </w:p>
        </w:tc>
        <w:tc>
          <w:tcPr>
            <w:tcW w:w="7983" w:type="dxa"/>
            <w:gridSpan w:val="8"/>
            <w:vAlign w:val="center"/>
          </w:tcPr>
          <w:p w14:paraId="08A74EBA">
            <w:pPr>
              <w:widowControl/>
              <w:spacing w:line="280" w:lineRule="exact"/>
              <w:jc w:val="center"/>
              <w:rPr>
                <w:sz w:val="24"/>
              </w:rPr>
            </w:pPr>
          </w:p>
        </w:tc>
      </w:tr>
      <w:tr w14:paraId="0E790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Align w:val="center"/>
          </w:tcPr>
          <w:p w14:paraId="1E0509EE">
            <w:pPr>
              <w:widowControl/>
              <w:spacing w:line="280" w:lineRule="exact"/>
              <w:jc w:val="center"/>
              <w:rPr>
                <w:sz w:val="24"/>
              </w:rPr>
            </w:pPr>
            <w:r>
              <w:rPr>
                <w:sz w:val="24"/>
              </w:rPr>
              <w:t>校准地点</w:t>
            </w:r>
          </w:p>
        </w:tc>
        <w:tc>
          <w:tcPr>
            <w:tcW w:w="7983" w:type="dxa"/>
            <w:gridSpan w:val="8"/>
            <w:vAlign w:val="center"/>
          </w:tcPr>
          <w:p w14:paraId="2EBCFA9C">
            <w:pPr>
              <w:widowControl/>
              <w:spacing w:line="280" w:lineRule="exact"/>
              <w:jc w:val="center"/>
              <w:rPr>
                <w:sz w:val="24"/>
              </w:rPr>
            </w:pPr>
          </w:p>
        </w:tc>
      </w:tr>
      <w:tr w14:paraId="3D59A5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Merge w:val="restart"/>
            <w:vAlign w:val="center"/>
          </w:tcPr>
          <w:p w14:paraId="6B39E116">
            <w:pPr>
              <w:widowControl/>
              <w:spacing w:line="280" w:lineRule="exact"/>
              <w:jc w:val="center"/>
              <w:rPr>
                <w:sz w:val="24"/>
              </w:rPr>
            </w:pPr>
            <w:r>
              <w:rPr>
                <w:sz w:val="24"/>
              </w:rPr>
              <w:t>校准用计量器具和标准物质</w:t>
            </w:r>
          </w:p>
        </w:tc>
        <w:tc>
          <w:tcPr>
            <w:tcW w:w="1591" w:type="dxa"/>
            <w:gridSpan w:val="2"/>
            <w:vAlign w:val="center"/>
          </w:tcPr>
          <w:p w14:paraId="6538DCFE">
            <w:pPr>
              <w:widowControl/>
              <w:spacing w:line="280" w:lineRule="exact"/>
              <w:jc w:val="center"/>
              <w:rPr>
                <w:sz w:val="24"/>
              </w:rPr>
            </w:pPr>
            <w:r>
              <w:rPr>
                <w:sz w:val="24"/>
              </w:rPr>
              <w:t>名    称</w:t>
            </w:r>
          </w:p>
        </w:tc>
        <w:tc>
          <w:tcPr>
            <w:tcW w:w="1584" w:type="dxa"/>
            <w:vAlign w:val="center"/>
          </w:tcPr>
          <w:p w14:paraId="07A050C2">
            <w:pPr>
              <w:widowControl/>
              <w:spacing w:line="280" w:lineRule="exact"/>
              <w:jc w:val="center"/>
              <w:rPr>
                <w:sz w:val="24"/>
              </w:rPr>
            </w:pPr>
            <w:r>
              <w:rPr>
                <w:sz w:val="24"/>
              </w:rPr>
              <w:t>型号</w:t>
            </w:r>
          </w:p>
        </w:tc>
        <w:tc>
          <w:tcPr>
            <w:tcW w:w="1599" w:type="dxa"/>
            <w:gridSpan w:val="2"/>
            <w:vAlign w:val="center"/>
          </w:tcPr>
          <w:p w14:paraId="1E73A3C5">
            <w:pPr>
              <w:widowControl/>
              <w:spacing w:line="280" w:lineRule="exact"/>
              <w:jc w:val="center"/>
              <w:rPr>
                <w:sz w:val="24"/>
              </w:rPr>
            </w:pPr>
            <w:r>
              <w:rPr>
                <w:sz w:val="24"/>
              </w:rPr>
              <w:t>编号</w:t>
            </w:r>
          </w:p>
        </w:tc>
        <w:tc>
          <w:tcPr>
            <w:tcW w:w="1592" w:type="dxa"/>
            <w:gridSpan w:val="2"/>
            <w:vAlign w:val="center"/>
          </w:tcPr>
          <w:p w14:paraId="70E8F877">
            <w:pPr>
              <w:widowControl/>
              <w:spacing w:line="280" w:lineRule="exact"/>
              <w:jc w:val="center"/>
              <w:rPr>
                <w:sz w:val="24"/>
              </w:rPr>
            </w:pPr>
            <w:r>
              <w:rPr>
                <w:sz w:val="24"/>
              </w:rPr>
              <w:t>准确度等级/最大允许误差/不确定度</w:t>
            </w:r>
          </w:p>
        </w:tc>
        <w:tc>
          <w:tcPr>
            <w:tcW w:w="1617" w:type="dxa"/>
            <w:vAlign w:val="center"/>
          </w:tcPr>
          <w:p w14:paraId="5353201B">
            <w:pPr>
              <w:widowControl/>
              <w:spacing w:line="280" w:lineRule="exact"/>
              <w:jc w:val="center"/>
              <w:rPr>
                <w:sz w:val="24"/>
              </w:rPr>
            </w:pPr>
            <w:r>
              <w:rPr>
                <w:sz w:val="24"/>
              </w:rPr>
              <w:t>有效期</w:t>
            </w:r>
          </w:p>
        </w:tc>
      </w:tr>
      <w:tr w14:paraId="7DD41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Merge w:val="continue"/>
            <w:vAlign w:val="center"/>
          </w:tcPr>
          <w:p w14:paraId="485799E3">
            <w:pPr>
              <w:widowControl/>
              <w:spacing w:line="280" w:lineRule="exact"/>
              <w:rPr>
                <w:sz w:val="24"/>
              </w:rPr>
            </w:pPr>
          </w:p>
        </w:tc>
        <w:tc>
          <w:tcPr>
            <w:tcW w:w="1591" w:type="dxa"/>
            <w:gridSpan w:val="2"/>
            <w:vAlign w:val="center"/>
          </w:tcPr>
          <w:p w14:paraId="4BCC5C48">
            <w:pPr>
              <w:widowControl/>
              <w:spacing w:line="280" w:lineRule="exact"/>
              <w:jc w:val="center"/>
              <w:rPr>
                <w:sz w:val="24"/>
              </w:rPr>
            </w:pPr>
          </w:p>
        </w:tc>
        <w:tc>
          <w:tcPr>
            <w:tcW w:w="1584" w:type="dxa"/>
            <w:vAlign w:val="center"/>
          </w:tcPr>
          <w:p w14:paraId="4F80D3F3">
            <w:pPr>
              <w:widowControl/>
              <w:spacing w:line="280" w:lineRule="exact"/>
              <w:jc w:val="center"/>
              <w:rPr>
                <w:sz w:val="24"/>
              </w:rPr>
            </w:pPr>
          </w:p>
        </w:tc>
        <w:tc>
          <w:tcPr>
            <w:tcW w:w="1599" w:type="dxa"/>
            <w:gridSpan w:val="2"/>
            <w:vAlign w:val="center"/>
          </w:tcPr>
          <w:p w14:paraId="36F0BD47">
            <w:pPr>
              <w:widowControl/>
              <w:spacing w:line="280" w:lineRule="exact"/>
              <w:jc w:val="center"/>
              <w:rPr>
                <w:sz w:val="24"/>
              </w:rPr>
            </w:pPr>
          </w:p>
        </w:tc>
        <w:tc>
          <w:tcPr>
            <w:tcW w:w="1592" w:type="dxa"/>
            <w:gridSpan w:val="2"/>
            <w:vAlign w:val="center"/>
          </w:tcPr>
          <w:p w14:paraId="3C939B49">
            <w:pPr>
              <w:widowControl/>
              <w:spacing w:line="280" w:lineRule="exact"/>
              <w:jc w:val="center"/>
              <w:rPr>
                <w:sz w:val="24"/>
              </w:rPr>
            </w:pPr>
          </w:p>
        </w:tc>
        <w:tc>
          <w:tcPr>
            <w:tcW w:w="1617" w:type="dxa"/>
            <w:vAlign w:val="center"/>
          </w:tcPr>
          <w:p w14:paraId="04FCE660">
            <w:pPr>
              <w:widowControl/>
              <w:spacing w:line="280" w:lineRule="exact"/>
              <w:jc w:val="center"/>
              <w:rPr>
                <w:sz w:val="24"/>
              </w:rPr>
            </w:pPr>
          </w:p>
        </w:tc>
      </w:tr>
      <w:tr w14:paraId="1BE9E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Merge w:val="continue"/>
            <w:vAlign w:val="center"/>
          </w:tcPr>
          <w:p w14:paraId="21455514">
            <w:pPr>
              <w:widowControl/>
              <w:spacing w:line="280" w:lineRule="exact"/>
              <w:rPr>
                <w:sz w:val="24"/>
              </w:rPr>
            </w:pPr>
          </w:p>
        </w:tc>
        <w:tc>
          <w:tcPr>
            <w:tcW w:w="1591" w:type="dxa"/>
            <w:gridSpan w:val="2"/>
            <w:vAlign w:val="center"/>
          </w:tcPr>
          <w:p w14:paraId="6C0506A6">
            <w:pPr>
              <w:widowControl/>
              <w:spacing w:line="280" w:lineRule="exact"/>
              <w:jc w:val="center"/>
              <w:rPr>
                <w:sz w:val="24"/>
              </w:rPr>
            </w:pPr>
          </w:p>
        </w:tc>
        <w:tc>
          <w:tcPr>
            <w:tcW w:w="1584" w:type="dxa"/>
            <w:vAlign w:val="center"/>
          </w:tcPr>
          <w:p w14:paraId="3717ED01">
            <w:pPr>
              <w:widowControl/>
              <w:spacing w:line="280" w:lineRule="exact"/>
              <w:jc w:val="center"/>
              <w:rPr>
                <w:sz w:val="24"/>
              </w:rPr>
            </w:pPr>
          </w:p>
        </w:tc>
        <w:tc>
          <w:tcPr>
            <w:tcW w:w="1599" w:type="dxa"/>
            <w:gridSpan w:val="2"/>
            <w:vAlign w:val="center"/>
          </w:tcPr>
          <w:p w14:paraId="44247215">
            <w:pPr>
              <w:widowControl/>
              <w:spacing w:line="280" w:lineRule="exact"/>
              <w:jc w:val="center"/>
              <w:rPr>
                <w:sz w:val="24"/>
              </w:rPr>
            </w:pPr>
          </w:p>
        </w:tc>
        <w:tc>
          <w:tcPr>
            <w:tcW w:w="1592" w:type="dxa"/>
            <w:gridSpan w:val="2"/>
            <w:vAlign w:val="center"/>
          </w:tcPr>
          <w:p w14:paraId="0F51D497">
            <w:pPr>
              <w:widowControl/>
              <w:spacing w:line="280" w:lineRule="exact"/>
              <w:jc w:val="center"/>
              <w:rPr>
                <w:sz w:val="24"/>
              </w:rPr>
            </w:pPr>
          </w:p>
        </w:tc>
        <w:tc>
          <w:tcPr>
            <w:tcW w:w="1617" w:type="dxa"/>
            <w:vAlign w:val="center"/>
          </w:tcPr>
          <w:p w14:paraId="31006461">
            <w:pPr>
              <w:widowControl/>
              <w:spacing w:line="280" w:lineRule="exact"/>
              <w:jc w:val="center"/>
              <w:rPr>
                <w:sz w:val="24"/>
              </w:rPr>
            </w:pPr>
          </w:p>
        </w:tc>
      </w:tr>
      <w:tr w14:paraId="2CCF2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Merge w:val="continue"/>
            <w:vAlign w:val="center"/>
          </w:tcPr>
          <w:p w14:paraId="59507506">
            <w:pPr>
              <w:widowControl/>
              <w:spacing w:line="280" w:lineRule="exact"/>
              <w:rPr>
                <w:sz w:val="24"/>
              </w:rPr>
            </w:pPr>
          </w:p>
        </w:tc>
        <w:tc>
          <w:tcPr>
            <w:tcW w:w="1591" w:type="dxa"/>
            <w:gridSpan w:val="2"/>
            <w:vAlign w:val="center"/>
          </w:tcPr>
          <w:p w14:paraId="67B0CC96">
            <w:pPr>
              <w:widowControl/>
              <w:spacing w:line="280" w:lineRule="exact"/>
              <w:jc w:val="center"/>
              <w:rPr>
                <w:sz w:val="24"/>
              </w:rPr>
            </w:pPr>
          </w:p>
        </w:tc>
        <w:tc>
          <w:tcPr>
            <w:tcW w:w="1584" w:type="dxa"/>
            <w:vAlign w:val="center"/>
          </w:tcPr>
          <w:p w14:paraId="2F224857">
            <w:pPr>
              <w:widowControl/>
              <w:spacing w:line="280" w:lineRule="exact"/>
              <w:jc w:val="center"/>
              <w:rPr>
                <w:sz w:val="24"/>
              </w:rPr>
            </w:pPr>
          </w:p>
        </w:tc>
        <w:tc>
          <w:tcPr>
            <w:tcW w:w="1599" w:type="dxa"/>
            <w:gridSpan w:val="2"/>
            <w:vAlign w:val="center"/>
          </w:tcPr>
          <w:p w14:paraId="48CF572A">
            <w:pPr>
              <w:widowControl/>
              <w:spacing w:line="280" w:lineRule="exact"/>
              <w:jc w:val="center"/>
              <w:rPr>
                <w:sz w:val="24"/>
              </w:rPr>
            </w:pPr>
          </w:p>
        </w:tc>
        <w:tc>
          <w:tcPr>
            <w:tcW w:w="1592" w:type="dxa"/>
            <w:gridSpan w:val="2"/>
            <w:vAlign w:val="center"/>
          </w:tcPr>
          <w:p w14:paraId="47F1D01B">
            <w:pPr>
              <w:widowControl/>
              <w:spacing w:line="280" w:lineRule="exact"/>
              <w:jc w:val="center"/>
              <w:rPr>
                <w:sz w:val="24"/>
              </w:rPr>
            </w:pPr>
          </w:p>
        </w:tc>
        <w:tc>
          <w:tcPr>
            <w:tcW w:w="1617" w:type="dxa"/>
            <w:vAlign w:val="center"/>
          </w:tcPr>
          <w:p w14:paraId="4CAAD8B2">
            <w:pPr>
              <w:widowControl/>
              <w:spacing w:line="280" w:lineRule="exact"/>
              <w:jc w:val="center"/>
              <w:rPr>
                <w:sz w:val="24"/>
              </w:rPr>
            </w:pPr>
          </w:p>
        </w:tc>
      </w:tr>
      <w:tr w14:paraId="1C835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Merge w:val="continue"/>
            <w:vAlign w:val="center"/>
          </w:tcPr>
          <w:p w14:paraId="7426A1EC">
            <w:pPr>
              <w:widowControl/>
              <w:spacing w:line="280" w:lineRule="exact"/>
              <w:rPr>
                <w:sz w:val="24"/>
              </w:rPr>
            </w:pPr>
          </w:p>
        </w:tc>
        <w:tc>
          <w:tcPr>
            <w:tcW w:w="1591" w:type="dxa"/>
            <w:gridSpan w:val="2"/>
            <w:vAlign w:val="center"/>
          </w:tcPr>
          <w:p w14:paraId="183BCD41">
            <w:pPr>
              <w:widowControl/>
              <w:spacing w:line="280" w:lineRule="exact"/>
              <w:jc w:val="center"/>
              <w:rPr>
                <w:sz w:val="24"/>
              </w:rPr>
            </w:pPr>
          </w:p>
        </w:tc>
        <w:tc>
          <w:tcPr>
            <w:tcW w:w="1584" w:type="dxa"/>
            <w:vAlign w:val="center"/>
          </w:tcPr>
          <w:p w14:paraId="456E5C4B">
            <w:pPr>
              <w:widowControl/>
              <w:spacing w:line="280" w:lineRule="exact"/>
              <w:jc w:val="center"/>
              <w:rPr>
                <w:sz w:val="24"/>
              </w:rPr>
            </w:pPr>
          </w:p>
        </w:tc>
        <w:tc>
          <w:tcPr>
            <w:tcW w:w="1599" w:type="dxa"/>
            <w:gridSpan w:val="2"/>
            <w:vAlign w:val="center"/>
          </w:tcPr>
          <w:p w14:paraId="142E2361">
            <w:pPr>
              <w:widowControl/>
              <w:spacing w:line="280" w:lineRule="exact"/>
              <w:jc w:val="center"/>
              <w:rPr>
                <w:sz w:val="24"/>
              </w:rPr>
            </w:pPr>
          </w:p>
        </w:tc>
        <w:tc>
          <w:tcPr>
            <w:tcW w:w="1592" w:type="dxa"/>
            <w:gridSpan w:val="2"/>
            <w:vAlign w:val="center"/>
          </w:tcPr>
          <w:p w14:paraId="0A1CE52A">
            <w:pPr>
              <w:widowControl/>
              <w:spacing w:line="280" w:lineRule="exact"/>
              <w:jc w:val="center"/>
              <w:rPr>
                <w:sz w:val="24"/>
              </w:rPr>
            </w:pPr>
          </w:p>
        </w:tc>
        <w:tc>
          <w:tcPr>
            <w:tcW w:w="1617" w:type="dxa"/>
            <w:vAlign w:val="center"/>
          </w:tcPr>
          <w:p w14:paraId="130153DD">
            <w:pPr>
              <w:widowControl/>
              <w:spacing w:line="280" w:lineRule="exact"/>
              <w:jc w:val="center"/>
              <w:rPr>
                <w:sz w:val="24"/>
              </w:rPr>
            </w:pPr>
          </w:p>
        </w:tc>
      </w:tr>
      <w:tr w14:paraId="7DF78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64" w:type="dxa"/>
            <w:vAlign w:val="center"/>
          </w:tcPr>
          <w:p w14:paraId="079DF3E0">
            <w:pPr>
              <w:widowControl/>
              <w:spacing w:line="280" w:lineRule="exact"/>
              <w:jc w:val="center"/>
              <w:rPr>
                <w:sz w:val="24"/>
              </w:rPr>
            </w:pPr>
            <w:r>
              <w:rPr>
                <w:sz w:val="24"/>
              </w:rPr>
              <w:t>环境条件</w:t>
            </w:r>
          </w:p>
        </w:tc>
        <w:tc>
          <w:tcPr>
            <w:tcW w:w="1591" w:type="dxa"/>
            <w:gridSpan w:val="2"/>
            <w:vAlign w:val="center"/>
          </w:tcPr>
          <w:p w14:paraId="6BBE5952">
            <w:pPr>
              <w:widowControl/>
              <w:spacing w:line="280" w:lineRule="exact"/>
              <w:jc w:val="center"/>
              <w:rPr>
                <w:sz w:val="24"/>
              </w:rPr>
            </w:pPr>
            <w:r>
              <w:rPr>
                <w:sz w:val="24"/>
              </w:rPr>
              <w:t>温   度</w:t>
            </w:r>
          </w:p>
        </w:tc>
        <w:tc>
          <w:tcPr>
            <w:tcW w:w="3183" w:type="dxa"/>
            <w:gridSpan w:val="3"/>
            <w:vAlign w:val="center"/>
          </w:tcPr>
          <w:p w14:paraId="13B66050">
            <w:pPr>
              <w:spacing w:line="280" w:lineRule="exact"/>
              <w:jc w:val="right"/>
              <w:rPr>
                <w:sz w:val="24"/>
              </w:rPr>
            </w:pPr>
            <w:r>
              <w:rPr>
                <w:sz w:val="24"/>
              </w:rPr>
              <w:t xml:space="preserve">℃  </w:t>
            </w:r>
          </w:p>
        </w:tc>
        <w:tc>
          <w:tcPr>
            <w:tcW w:w="1592" w:type="dxa"/>
            <w:gridSpan w:val="2"/>
            <w:vAlign w:val="center"/>
          </w:tcPr>
          <w:p w14:paraId="67DAFBD4">
            <w:pPr>
              <w:widowControl/>
              <w:spacing w:line="280" w:lineRule="exact"/>
              <w:jc w:val="center"/>
              <w:rPr>
                <w:sz w:val="24"/>
              </w:rPr>
            </w:pPr>
            <w:r>
              <w:rPr>
                <w:sz w:val="24"/>
              </w:rPr>
              <w:t>湿   度</w:t>
            </w:r>
          </w:p>
        </w:tc>
        <w:tc>
          <w:tcPr>
            <w:tcW w:w="1617" w:type="dxa"/>
            <w:vAlign w:val="center"/>
          </w:tcPr>
          <w:p w14:paraId="0826C1CE">
            <w:pPr>
              <w:widowControl/>
              <w:spacing w:line="280" w:lineRule="exact"/>
              <w:jc w:val="right"/>
              <w:rPr>
                <w:sz w:val="24"/>
              </w:rPr>
            </w:pPr>
            <w:r>
              <w:rPr>
                <w:sz w:val="24"/>
              </w:rPr>
              <w:t xml:space="preserve">%RH </w:t>
            </w:r>
          </w:p>
        </w:tc>
      </w:tr>
    </w:tbl>
    <w:p w14:paraId="0943DE42">
      <w:pPr>
        <w:adjustRightInd w:val="0"/>
        <w:spacing w:beforeLines="100" w:afterLines="100" w:line="310" w:lineRule="exact"/>
        <w:rPr>
          <w:rFonts w:ascii="宋体" w:hAnsi="宋体"/>
          <w:szCs w:val="21"/>
        </w:rPr>
      </w:pPr>
    </w:p>
    <w:p w14:paraId="6C9F4F30">
      <w:pPr>
        <w:adjustRightInd w:val="0"/>
        <w:spacing w:beforeLines="100" w:afterLines="100" w:line="310" w:lineRule="exact"/>
        <w:rPr>
          <w:rFonts w:ascii="宋体" w:hAnsi="宋体"/>
          <w:szCs w:val="21"/>
        </w:rPr>
      </w:pPr>
      <w:r>
        <w:rPr>
          <w:rFonts w:hint="eastAsia" w:ascii="宋体" w:hAnsi="宋体"/>
          <w:szCs w:val="21"/>
        </w:rPr>
        <w:t>一、自放热检测灵敏度</w:t>
      </w:r>
    </w:p>
    <w:tbl>
      <w:tblPr>
        <w:tblStyle w:val="20"/>
        <w:tblW w:w="46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14"/>
        <w:gridCol w:w="1975"/>
        <w:gridCol w:w="2384"/>
        <w:gridCol w:w="1821"/>
      </w:tblGrid>
      <w:tr w14:paraId="1A7A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1135" w:type="pct"/>
            <w:vMerge w:val="restart"/>
            <w:vAlign w:val="center"/>
          </w:tcPr>
          <w:p w14:paraId="68A02A03">
            <w:pPr>
              <w:jc w:val="center"/>
            </w:pPr>
            <w:r>
              <w:rPr>
                <w:rFonts w:hint="eastAsia"/>
              </w:rPr>
              <w:t>温度设定值</w:t>
            </w:r>
          </w:p>
          <w:p w14:paraId="75F293E6">
            <w:pPr>
              <w:jc w:val="center"/>
            </w:pPr>
            <w:r>
              <w:rPr>
                <w:rFonts w:eastAsia="楷体_GB2312"/>
              </w:rPr>
              <w:t>℃</w:t>
            </w:r>
          </w:p>
        </w:tc>
        <w:tc>
          <w:tcPr>
            <w:tcW w:w="1235" w:type="pct"/>
            <w:vMerge w:val="restart"/>
            <w:vAlign w:val="center"/>
          </w:tcPr>
          <w:p w14:paraId="4921FB05">
            <w:pPr>
              <w:jc w:val="center"/>
            </w:pPr>
            <w:r>
              <w:rPr>
                <w:rFonts w:hint="eastAsia"/>
              </w:rPr>
              <w:t>升温速率设定值</w:t>
            </w:r>
          </w:p>
          <w:p w14:paraId="4F57A5C9">
            <w:pPr>
              <w:jc w:val="center"/>
            </w:pPr>
            <w:r>
              <w:rPr>
                <w:rFonts w:eastAsia="楷体_GB2312"/>
              </w:rPr>
              <w:t>℃</w:t>
            </w:r>
            <w:r>
              <w:rPr>
                <w:rFonts w:hint="eastAsia" w:eastAsia="楷体_GB2312"/>
              </w:rPr>
              <w:t>/min</w:t>
            </w:r>
          </w:p>
        </w:tc>
        <w:tc>
          <w:tcPr>
            <w:tcW w:w="1491" w:type="pct"/>
            <w:vMerge w:val="restart"/>
            <w:vAlign w:val="center"/>
          </w:tcPr>
          <w:p w14:paraId="03204F79">
            <w:pPr>
              <w:jc w:val="center"/>
              <w:rPr>
                <w:rFonts w:ascii="宋体" w:hAnsi="宋体"/>
                <w:szCs w:val="21"/>
              </w:rPr>
            </w:pPr>
            <w:r>
              <w:rPr>
                <w:rFonts w:hint="eastAsia" w:ascii="宋体" w:hAnsi="宋体"/>
                <w:szCs w:val="21"/>
              </w:rPr>
              <w:t>自放热检测灵敏度</w:t>
            </w:r>
          </w:p>
          <w:p w14:paraId="543424F3">
            <w:pPr>
              <w:jc w:val="center"/>
            </w:pPr>
            <w:r>
              <w:rPr>
                <w:rFonts w:eastAsia="楷体_GB2312"/>
              </w:rPr>
              <w:t>℃</w:t>
            </w:r>
            <w:r>
              <w:rPr>
                <w:rFonts w:hint="eastAsia" w:eastAsia="楷体_GB2312"/>
              </w:rPr>
              <w:t>/min</w:t>
            </w:r>
          </w:p>
        </w:tc>
        <w:tc>
          <w:tcPr>
            <w:tcW w:w="1139" w:type="pct"/>
            <w:vMerge w:val="restart"/>
            <w:vAlign w:val="center"/>
          </w:tcPr>
          <w:p w14:paraId="05EE996D">
            <w:pPr>
              <w:jc w:val="center"/>
            </w:pPr>
            <w:r>
              <w:t>不确定度</w:t>
            </w:r>
          </w:p>
          <w:p w14:paraId="5A71ED89">
            <w:pPr>
              <w:jc w:val="center"/>
              <w:rPr>
                <w:vertAlign w:val="subscript"/>
              </w:rPr>
            </w:pPr>
            <w:r>
              <w:rPr>
                <w:rFonts w:eastAsia="楷体_GB2312"/>
              </w:rPr>
              <w:t>℃</w:t>
            </w:r>
            <w:r>
              <w:rPr>
                <w:rFonts w:hint="eastAsia" w:eastAsia="楷体_GB2312"/>
              </w:rPr>
              <w:t>/min</w:t>
            </w:r>
          </w:p>
        </w:tc>
      </w:tr>
      <w:tr w14:paraId="23FC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1135" w:type="pct"/>
            <w:vMerge w:val="continue"/>
            <w:vAlign w:val="center"/>
          </w:tcPr>
          <w:p w14:paraId="5FF9D1B1">
            <w:pPr>
              <w:spacing w:line="300" w:lineRule="auto"/>
            </w:pPr>
          </w:p>
        </w:tc>
        <w:tc>
          <w:tcPr>
            <w:tcW w:w="1235" w:type="pct"/>
            <w:vMerge w:val="continue"/>
            <w:vAlign w:val="center"/>
          </w:tcPr>
          <w:p w14:paraId="7D36A0A8">
            <w:pPr>
              <w:spacing w:line="300" w:lineRule="auto"/>
            </w:pPr>
          </w:p>
        </w:tc>
        <w:tc>
          <w:tcPr>
            <w:tcW w:w="1491" w:type="pct"/>
            <w:vMerge w:val="continue"/>
            <w:vAlign w:val="center"/>
          </w:tcPr>
          <w:p w14:paraId="34DEB727">
            <w:pPr>
              <w:spacing w:line="300" w:lineRule="auto"/>
            </w:pPr>
          </w:p>
        </w:tc>
        <w:tc>
          <w:tcPr>
            <w:tcW w:w="1139" w:type="pct"/>
            <w:vMerge w:val="continue"/>
            <w:vAlign w:val="center"/>
          </w:tcPr>
          <w:p w14:paraId="357F9C23">
            <w:pPr>
              <w:spacing w:line="300" w:lineRule="auto"/>
            </w:pPr>
          </w:p>
        </w:tc>
      </w:tr>
      <w:tr w14:paraId="72C95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1135" w:type="pct"/>
            <w:vAlign w:val="center"/>
          </w:tcPr>
          <w:p w14:paraId="214F85EE">
            <w:pPr>
              <w:spacing w:line="300" w:lineRule="auto"/>
              <w:jc w:val="center"/>
            </w:pPr>
          </w:p>
        </w:tc>
        <w:tc>
          <w:tcPr>
            <w:tcW w:w="1235" w:type="pct"/>
            <w:vAlign w:val="center"/>
          </w:tcPr>
          <w:p w14:paraId="3C2BC42F">
            <w:pPr>
              <w:spacing w:line="300" w:lineRule="auto"/>
            </w:pPr>
          </w:p>
        </w:tc>
        <w:tc>
          <w:tcPr>
            <w:tcW w:w="1491" w:type="pct"/>
            <w:vAlign w:val="center"/>
          </w:tcPr>
          <w:p w14:paraId="2B684331">
            <w:pPr>
              <w:spacing w:line="300" w:lineRule="auto"/>
            </w:pPr>
          </w:p>
        </w:tc>
        <w:tc>
          <w:tcPr>
            <w:tcW w:w="1139" w:type="pct"/>
            <w:vAlign w:val="center"/>
          </w:tcPr>
          <w:p w14:paraId="7474417E">
            <w:pPr>
              <w:spacing w:line="300" w:lineRule="auto"/>
            </w:pPr>
          </w:p>
        </w:tc>
      </w:tr>
      <w:tr w14:paraId="7928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1135" w:type="pct"/>
            <w:vAlign w:val="center"/>
          </w:tcPr>
          <w:p w14:paraId="56A0A109">
            <w:pPr>
              <w:spacing w:line="300" w:lineRule="auto"/>
              <w:jc w:val="center"/>
            </w:pPr>
          </w:p>
        </w:tc>
        <w:tc>
          <w:tcPr>
            <w:tcW w:w="1235" w:type="pct"/>
            <w:vAlign w:val="center"/>
          </w:tcPr>
          <w:p w14:paraId="37279AAA">
            <w:pPr>
              <w:spacing w:line="300" w:lineRule="auto"/>
            </w:pPr>
          </w:p>
        </w:tc>
        <w:tc>
          <w:tcPr>
            <w:tcW w:w="1491" w:type="pct"/>
            <w:vAlign w:val="center"/>
          </w:tcPr>
          <w:p w14:paraId="6A110106">
            <w:pPr>
              <w:spacing w:line="300" w:lineRule="auto"/>
            </w:pPr>
          </w:p>
        </w:tc>
        <w:tc>
          <w:tcPr>
            <w:tcW w:w="1139" w:type="pct"/>
            <w:vAlign w:val="center"/>
          </w:tcPr>
          <w:p w14:paraId="5C2A48F0">
            <w:pPr>
              <w:spacing w:line="300" w:lineRule="auto"/>
            </w:pPr>
          </w:p>
        </w:tc>
      </w:tr>
    </w:tbl>
    <w:p w14:paraId="069F5E0A">
      <w:pPr>
        <w:adjustRightInd w:val="0"/>
        <w:spacing w:beforeLines="100" w:afterLines="100" w:line="310" w:lineRule="exact"/>
      </w:pPr>
      <w:r>
        <w:rPr>
          <w:rFonts w:hint="eastAsia"/>
        </w:rPr>
        <w:t>二、电池充放电产热量相对</w:t>
      </w:r>
      <w:r>
        <w:t>误差</w:t>
      </w:r>
    </w:p>
    <w:tbl>
      <w:tblPr>
        <w:tblStyle w:val="20"/>
        <w:tblW w:w="41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303"/>
        <w:gridCol w:w="2692"/>
        <w:gridCol w:w="2183"/>
      </w:tblGrid>
      <w:tr w14:paraId="02C3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1604" w:type="pct"/>
            <w:vMerge w:val="restart"/>
            <w:vAlign w:val="center"/>
          </w:tcPr>
          <w:p w14:paraId="13B6FD65">
            <w:pPr>
              <w:jc w:val="center"/>
            </w:pPr>
            <w:r>
              <w:rPr>
                <w:rFonts w:hint="eastAsia"/>
              </w:rPr>
              <w:t>升温速率设定值</w:t>
            </w:r>
          </w:p>
          <w:p w14:paraId="3C8FE88B">
            <w:pPr>
              <w:jc w:val="center"/>
            </w:pPr>
            <w:r>
              <w:rPr>
                <w:rFonts w:eastAsia="楷体_GB2312"/>
              </w:rPr>
              <w:t>℃</w:t>
            </w:r>
            <w:r>
              <w:rPr>
                <w:rFonts w:hint="eastAsia" w:eastAsia="楷体_GB2312"/>
              </w:rPr>
              <w:t>/min</w:t>
            </w:r>
          </w:p>
        </w:tc>
        <w:tc>
          <w:tcPr>
            <w:tcW w:w="1875" w:type="pct"/>
            <w:vMerge w:val="restart"/>
            <w:vAlign w:val="center"/>
          </w:tcPr>
          <w:p w14:paraId="6FC343D5">
            <w:pPr>
              <w:jc w:val="center"/>
            </w:pPr>
            <w:r>
              <w:rPr>
                <w:rFonts w:hint="eastAsia"/>
              </w:rPr>
              <w:t>电池充放电产热量相对</w:t>
            </w:r>
            <w:r>
              <w:t>误差</w:t>
            </w:r>
          </w:p>
          <w:p w14:paraId="27E42A27">
            <w:pPr>
              <w:jc w:val="center"/>
            </w:pPr>
            <w:r>
              <w:rPr>
                <w:rFonts w:hint="eastAsia"/>
              </w:rPr>
              <w:t>%</w:t>
            </w:r>
          </w:p>
        </w:tc>
        <w:tc>
          <w:tcPr>
            <w:tcW w:w="1520" w:type="pct"/>
            <w:vMerge w:val="restart"/>
            <w:vAlign w:val="center"/>
          </w:tcPr>
          <w:p w14:paraId="0FAF83FA">
            <w:pPr>
              <w:jc w:val="center"/>
            </w:pPr>
            <w:r>
              <w:t>不确定度</w:t>
            </w:r>
          </w:p>
          <w:p w14:paraId="4C004CBF">
            <w:pPr>
              <w:jc w:val="center"/>
              <w:rPr>
                <w:vertAlign w:val="subscript"/>
              </w:rPr>
            </w:pPr>
            <w:r>
              <w:rPr>
                <w:rFonts w:hint="eastAsia" w:eastAsia="楷体_GB2312"/>
              </w:rPr>
              <w:t>%</w:t>
            </w:r>
          </w:p>
        </w:tc>
      </w:tr>
      <w:tr w14:paraId="63074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1604" w:type="pct"/>
            <w:vMerge w:val="continue"/>
            <w:vAlign w:val="center"/>
          </w:tcPr>
          <w:p w14:paraId="5B1CD3CF">
            <w:pPr>
              <w:spacing w:line="300" w:lineRule="auto"/>
            </w:pPr>
          </w:p>
        </w:tc>
        <w:tc>
          <w:tcPr>
            <w:tcW w:w="1875" w:type="pct"/>
            <w:vMerge w:val="continue"/>
            <w:vAlign w:val="center"/>
          </w:tcPr>
          <w:p w14:paraId="1F4F448B">
            <w:pPr>
              <w:spacing w:line="300" w:lineRule="auto"/>
            </w:pPr>
          </w:p>
        </w:tc>
        <w:tc>
          <w:tcPr>
            <w:tcW w:w="1520" w:type="pct"/>
            <w:vMerge w:val="continue"/>
            <w:vAlign w:val="center"/>
          </w:tcPr>
          <w:p w14:paraId="2B299802">
            <w:pPr>
              <w:spacing w:line="300" w:lineRule="auto"/>
            </w:pPr>
          </w:p>
        </w:tc>
      </w:tr>
      <w:tr w14:paraId="65A6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1604" w:type="pct"/>
            <w:vAlign w:val="center"/>
          </w:tcPr>
          <w:p w14:paraId="3C59CBA0">
            <w:pPr>
              <w:spacing w:line="300" w:lineRule="auto"/>
            </w:pPr>
          </w:p>
        </w:tc>
        <w:tc>
          <w:tcPr>
            <w:tcW w:w="1875" w:type="pct"/>
            <w:vAlign w:val="center"/>
          </w:tcPr>
          <w:p w14:paraId="75AFF308">
            <w:pPr>
              <w:spacing w:line="300" w:lineRule="auto"/>
            </w:pPr>
          </w:p>
        </w:tc>
        <w:tc>
          <w:tcPr>
            <w:tcW w:w="1520" w:type="pct"/>
            <w:vAlign w:val="center"/>
          </w:tcPr>
          <w:p w14:paraId="6EAE5844">
            <w:pPr>
              <w:spacing w:line="300" w:lineRule="auto"/>
            </w:pPr>
          </w:p>
        </w:tc>
      </w:tr>
      <w:tr w14:paraId="19E67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1604" w:type="pct"/>
            <w:vAlign w:val="center"/>
          </w:tcPr>
          <w:p w14:paraId="0B2B2CA8">
            <w:pPr>
              <w:spacing w:line="300" w:lineRule="auto"/>
            </w:pPr>
          </w:p>
        </w:tc>
        <w:tc>
          <w:tcPr>
            <w:tcW w:w="1875" w:type="pct"/>
            <w:vAlign w:val="center"/>
          </w:tcPr>
          <w:p w14:paraId="2480DEB3">
            <w:pPr>
              <w:spacing w:line="300" w:lineRule="auto"/>
            </w:pPr>
          </w:p>
        </w:tc>
        <w:tc>
          <w:tcPr>
            <w:tcW w:w="1520" w:type="pct"/>
            <w:vAlign w:val="center"/>
          </w:tcPr>
          <w:p w14:paraId="781505CB">
            <w:pPr>
              <w:spacing w:line="300" w:lineRule="auto"/>
            </w:pPr>
          </w:p>
        </w:tc>
      </w:tr>
    </w:tbl>
    <w:p w14:paraId="1F74233C">
      <w:pPr>
        <w:adjustRightInd w:val="0"/>
        <w:spacing w:beforeLines="100" w:afterLines="100" w:line="310" w:lineRule="exact"/>
      </w:pPr>
    </w:p>
    <w:p w14:paraId="2EC4B48D">
      <w:pPr>
        <w:adjustRightInd w:val="0"/>
        <w:spacing w:beforeLines="100" w:afterLines="100" w:line="310" w:lineRule="exact"/>
      </w:pPr>
      <w:r>
        <w:rPr>
          <w:rFonts w:hint="eastAsia"/>
        </w:rPr>
        <w:t>三、温度示值误差和温度波动度</w:t>
      </w:r>
    </w:p>
    <w:tbl>
      <w:tblPr>
        <w:tblStyle w:val="20"/>
        <w:tblW w:w="5430" w:type="pct"/>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9"/>
        <w:gridCol w:w="466"/>
        <w:gridCol w:w="466"/>
        <w:gridCol w:w="466"/>
        <w:gridCol w:w="584"/>
        <w:gridCol w:w="584"/>
        <w:gridCol w:w="699"/>
        <w:gridCol w:w="825"/>
        <w:gridCol w:w="1279"/>
        <w:gridCol w:w="853"/>
        <w:gridCol w:w="1139"/>
        <w:gridCol w:w="874"/>
      </w:tblGrid>
      <w:tr w14:paraId="03D7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617" w:type="pct"/>
            <w:vMerge w:val="restart"/>
            <w:vAlign w:val="center"/>
          </w:tcPr>
          <w:p w14:paraId="587FC59A">
            <w:pPr>
              <w:jc w:val="center"/>
            </w:pPr>
            <w:r>
              <w:rPr>
                <w:rFonts w:hint="eastAsia"/>
              </w:rPr>
              <w:t>温度设定值</w:t>
            </w:r>
          </w:p>
          <w:p w14:paraId="702F0219">
            <w:pPr>
              <w:jc w:val="center"/>
            </w:pPr>
            <w:r>
              <w:rPr>
                <w:rFonts w:eastAsia="楷体_GB2312"/>
              </w:rPr>
              <w:t>℃</w:t>
            </w:r>
          </w:p>
        </w:tc>
        <w:tc>
          <w:tcPr>
            <w:tcW w:w="1366" w:type="pct"/>
            <w:gridSpan w:val="5"/>
            <w:vAlign w:val="center"/>
          </w:tcPr>
          <w:p w14:paraId="0247ECCD">
            <w:pPr>
              <w:jc w:val="center"/>
            </w:pPr>
            <w:r>
              <w:t>测量结果（每2min）</w:t>
            </w:r>
          </w:p>
          <w:p w14:paraId="3A72D99A">
            <w:pPr>
              <w:jc w:val="center"/>
            </w:pPr>
            <w:r>
              <w:rPr>
                <w:rFonts w:eastAsia="楷体_GB2312"/>
              </w:rPr>
              <w:t>℃</w:t>
            </w:r>
          </w:p>
        </w:tc>
        <w:tc>
          <w:tcPr>
            <w:tcW w:w="372" w:type="pct"/>
            <w:vMerge w:val="restart"/>
            <w:vAlign w:val="center"/>
          </w:tcPr>
          <w:p w14:paraId="5DE923A4">
            <w:pPr>
              <w:jc w:val="center"/>
            </w:pPr>
            <w:r>
              <w:rPr>
                <w:rFonts w:hint="eastAsia"/>
              </w:rPr>
              <w:t>标准器</w:t>
            </w:r>
          </w:p>
          <w:p w14:paraId="3770F918">
            <w:pPr>
              <w:jc w:val="center"/>
            </w:pPr>
            <w:r>
              <w:t>平均值</w:t>
            </w:r>
          </w:p>
          <w:p w14:paraId="4821A82C">
            <w:pPr>
              <w:jc w:val="center"/>
            </w:pPr>
            <w:r>
              <w:rPr>
                <w:rFonts w:eastAsia="楷体_GB2312"/>
              </w:rPr>
              <w:t>℃</w:t>
            </w:r>
          </w:p>
        </w:tc>
        <w:tc>
          <w:tcPr>
            <w:tcW w:w="439" w:type="pct"/>
            <w:vMerge w:val="restart"/>
            <w:vAlign w:val="center"/>
          </w:tcPr>
          <w:p w14:paraId="5B134B47">
            <w:pPr>
              <w:jc w:val="center"/>
            </w:pPr>
            <w:r>
              <w:rPr>
                <w:rFonts w:hint="eastAsia"/>
              </w:rPr>
              <w:t>仪器</w:t>
            </w:r>
          </w:p>
          <w:p w14:paraId="5A12F6BF">
            <w:pPr>
              <w:jc w:val="center"/>
            </w:pPr>
            <w:r>
              <w:t>平均值</w:t>
            </w:r>
          </w:p>
          <w:p w14:paraId="7888E73D">
            <w:pPr>
              <w:jc w:val="center"/>
            </w:pPr>
            <w:r>
              <w:rPr>
                <w:rFonts w:eastAsia="楷体_GB2312"/>
              </w:rPr>
              <w:t>℃</w:t>
            </w:r>
          </w:p>
        </w:tc>
        <w:tc>
          <w:tcPr>
            <w:tcW w:w="681" w:type="pct"/>
            <w:vMerge w:val="restart"/>
            <w:vAlign w:val="center"/>
          </w:tcPr>
          <w:p w14:paraId="382EE984">
            <w:pPr>
              <w:jc w:val="center"/>
            </w:pPr>
            <w:r>
              <w:t>温度示值误差</w:t>
            </w:r>
          </w:p>
          <w:p w14:paraId="43E98395">
            <w:pPr>
              <w:jc w:val="center"/>
            </w:pPr>
            <w:r>
              <w:rPr>
                <w:rFonts w:eastAsia="楷体_GB2312"/>
              </w:rPr>
              <w:t>℃</w:t>
            </w:r>
          </w:p>
        </w:tc>
        <w:tc>
          <w:tcPr>
            <w:tcW w:w="454" w:type="pct"/>
            <w:vMerge w:val="restart"/>
            <w:vAlign w:val="center"/>
          </w:tcPr>
          <w:p w14:paraId="755FA318">
            <w:pPr>
              <w:jc w:val="center"/>
            </w:pPr>
            <w:r>
              <w:t>不确定度</w:t>
            </w:r>
          </w:p>
          <w:p w14:paraId="09439C48">
            <w:pPr>
              <w:jc w:val="center"/>
            </w:pPr>
            <w:r>
              <w:rPr>
                <w:rFonts w:eastAsia="楷体_GB2312"/>
              </w:rPr>
              <w:t>℃</w:t>
            </w:r>
          </w:p>
        </w:tc>
        <w:tc>
          <w:tcPr>
            <w:tcW w:w="606" w:type="pct"/>
            <w:vMerge w:val="restart"/>
            <w:vAlign w:val="center"/>
          </w:tcPr>
          <w:p w14:paraId="1B8AD06C">
            <w:pPr>
              <w:jc w:val="center"/>
            </w:pPr>
            <w:r>
              <w:rPr>
                <w:rFonts w:hint="eastAsia"/>
              </w:rPr>
              <w:t>温度波动度</w:t>
            </w:r>
          </w:p>
          <w:p w14:paraId="0F4169DF">
            <w:pPr>
              <w:jc w:val="center"/>
            </w:pPr>
            <w:r>
              <w:rPr>
                <w:rFonts w:eastAsia="楷体_GB2312"/>
              </w:rPr>
              <w:t>℃</w:t>
            </w:r>
          </w:p>
        </w:tc>
        <w:tc>
          <w:tcPr>
            <w:tcW w:w="465" w:type="pct"/>
            <w:vMerge w:val="restart"/>
            <w:vAlign w:val="center"/>
          </w:tcPr>
          <w:p w14:paraId="6E8069A4">
            <w:pPr>
              <w:jc w:val="center"/>
            </w:pPr>
            <w:r>
              <w:t>不确定度</w:t>
            </w:r>
          </w:p>
          <w:p w14:paraId="7D16C8E8">
            <w:pPr>
              <w:jc w:val="center"/>
            </w:pPr>
            <w:r>
              <w:rPr>
                <w:rFonts w:eastAsia="楷体_GB2312"/>
              </w:rPr>
              <w:t>℃</w:t>
            </w:r>
          </w:p>
        </w:tc>
      </w:tr>
      <w:tr w14:paraId="6FA4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617" w:type="pct"/>
            <w:vMerge w:val="continue"/>
            <w:vAlign w:val="center"/>
          </w:tcPr>
          <w:p w14:paraId="69893D55">
            <w:pPr>
              <w:spacing w:line="300" w:lineRule="auto"/>
            </w:pPr>
          </w:p>
        </w:tc>
        <w:tc>
          <w:tcPr>
            <w:tcW w:w="248" w:type="pct"/>
            <w:vAlign w:val="center"/>
          </w:tcPr>
          <w:p w14:paraId="66816250">
            <w:pPr>
              <w:spacing w:line="300" w:lineRule="auto"/>
              <w:jc w:val="center"/>
            </w:pPr>
            <w:r>
              <w:t>(1)</w:t>
            </w:r>
          </w:p>
        </w:tc>
        <w:tc>
          <w:tcPr>
            <w:tcW w:w="248" w:type="pct"/>
            <w:vAlign w:val="center"/>
          </w:tcPr>
          <w:p w14:paraId="6F67D17F">
            <w:pPr>
              <w:spacing w:line="300" w:lineRule="auto"/>
              <w:jc w:val="center"/>
            </w:pPr>
            <w:r>
              <w:t>(</w:t>
            </w:r>
            <w:r>
              <w:rPr>
                <w:rFonts w:hint="eastAsia"/>
              </w:rPr>
              <w:t>2</w:t>
            </w:r>
            <w:r>
              <w:t>)</w:t>
            </w:r>
          </w:p>
        </w:tc>
        <w:tc>
          <w:tcPr>
            <w:tcW w:w="248" w:type="pct"/>
            <w:vAlign w:val="center"/>
          </w:tcPr>
          <w:p w14:paraId="7EFD93A5">
            <w:pPr>
              <w:spacing w:line="300" w:lineRule="auto"/>
              <w:jc w:val="center"/>
            </w:pPr>
            <w:r>
              <w:rPr>
                <w:rFonts w:hint="eastAsia"/>
              </w:rPr>
              <w:t>…</w:t>
            </w:r>
          </w:p>
        </w:tc>
        <w:tc>
          <w:tcPr>
            <w:tcW w:w="311" w:type="pct"/>
            <w:vAlign w:val="center"/>
          </w:tcPr>
          <w:p w14:paraId="6768AECF">
            <w:pPr>
              <w:spacing w:line="300" w:lineRule="auto"/>
              <w:jc w:val="center"/>
            </w:pPr>
            <w:r>
              <w:t>(1</w:t>
            </w:r>
            <w:r>
              <w:rPr>
                <w:rFonts w:hint="eastAsia"/>
              </w:rPr>
              <w:t>5</w:t>
            </w:r>
            <w:r>
              <w:t>)</w:t>
            </w:r>
          </w:p>
        </w:tc>
        <w:tc>
          <w:tcPr>
            <w:tcW w:w="311" w:type="pct"/>
            <w:vAlign w:val="center"/>
          </w:tcPr>
          <w:p w14:paraId="414F85D7">
            <w:pPr>
              <w:spacing w:line="300" w:lineRule="auto"/>
              <w:jc w:val="center"/>
            </w:pPr>
            <w:r>
              <w:t>(1</w:t>
            </w:r>
            <w:r>
              <w:rPr>
                <w:rFonts w:hint="eastAsia"/>
              </w:rPr>
              <w:t>6</w:t>
            </w:r>
            <w:r>
              <w:t>)</w:t>
            </w:r>
          </w:p>
        </w:tc>
        <w:tc>
          <w:tcPr>
            <w:tcW w:w="372" w:type="pct"/>
            <w:vMerge w:val="continue"/>
            <w:vAlign w:val="center"/>
          </w:tcPr>
          <w:p w14:paraId="31311FD5">
            <w:pPr>
              <w:spacing w:line="300" w:lineRule="auto"/>
            </w:pPr>
          </w:p>
        </w:tc>
        <w:tc>
          <w:tcPr>
            <w:tcW w:w="439" w:type="pct"/>
            <w:vMerge w:val="continue"/>
          </w:tcPr>
          <w:p w14:paraId="5A12FBFF">
            <w:pPr>
              <w:spacing w:line="300" w:lineRule="auto"/>
            </w:pPr>
          </w:p>
        </w:tc>
        <w:tc>
          <w:tcPr>
            <w:tcW w:w="681" w:type="pct"/>
            <w:vMerge w:val="continue"/>
            <w:vAlign w:val="center"/>
          </w:tcPr>
          <w:p w14:paraId="1556331B">
            <w:pPr>
              <w:spacing w:line="300" w:lineRule="auto"/>
            </w:pPr>
          </w:p>
        </w:tc>
        <w:tc>
          <w:tcPr>
            <w:tcW w:w="454" w:type="pct"/>
            <w:vMerge w:val="continue"/>
          </w:tcPr>
          <w:p w14:paraId="0791B626">
            <w:pPr>
              <w:spacing w:line="300" w:lineRule="auto"/>
            </w:pPr>
          </w:p>
        </w:tc>
        <w:tc>
          <w:tcPr>
            <w:tcW w:w="606" w:type="pct"/>
            <w:vMerge w:val="continue"/>
            <w:vAlign w:val="center"/>
          </w:tcPr>
          <w:p w14:paraId="2A296399">
            <w:pPr>
              <w:spacing w:line="300" w:lineRule="auto"/>
            </w:pPr>
          </w:p>
        </w:tc>
        <w:tc>
          <w:tcPr>
            <w:tcW w:w="465" w:type="pct"/>
            <w:vMerge w:val="continue"/>
          </w:tcPr>
          <w:p w14:paraId="2ED1C7CE">
            <w:pPr>
              <w:spacing w:line="300" w:lineRule="auto"/>
            </w:pPr>
          </w:p>
        </w:tc>
      </w:tr>
      <w:tr w14:paraId="6A8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2" w:hRule="atLeast"/>
        </w:trPr>
        <w:tc>
          <w:tcPr>
            <w:tcW w:w="617" w:type="pct"/>
            <w:vAlign w:val="center"/>
          </w:tcPr>
          <w:p w14:paraId="345BE6CD">
            <w:pPr>
              <w:spacing w:line="300" w:lineRule="auto"/>
              <w:jc w:val="center"/>
            </w:pPr>
          </w:p>
        </w:tc>
        <w:tc>
          <w:tcPr>
            <w:tcW w:w="248" w:type="pct"/>
            <w:vAlign w:val="center"/>
          </w:tcPr>
          <w:p w14:paraId="45855970">
            <w:pPr>
              <w:spacing w:line="300" w:lineRule="auto"/>
              <w:jc w:val="center"/>
            </w:pPr>
          </w:p>
        </w:tc>
        <w:tc>
          <w:tcPr>
            <w:tcW w:w="248" w:type="pct"/>
            <w:vAlign w:val="center"/>
          </w:tcPr>
          <w:p w14:paraId="7BCFC8BF">
            <w:pPr>
              <w:spacing w:line="300" w:lineRule="auto"/>
              <w:jc w:val="center"/>
            </w:pPr>
          </w:p>
        </w:tc>
        <w:tc>
          <w:tcPr>
            <w:tcW w:w="248" w:type="pct"/>
            <w:vAlign w:val="center"/>
          </w:tcPr>
          <w:p w14:paraId="3F11C2F9">
            <w:pPr>
              <w:spacing w:line="300" w:lineRule="auto"/>
              <w:jc w:val="center"/>
            </w:pPr>
          </w:p>
        </w:tc>
        <w:tc>
          <w:tcPr>
            <w:tcW w:w="311" w:type="pct"/>
            <w:vAlign w:val="center"/>
          </w:tcPr>
          <w:p w14:paraId="4E7E5E2F">
            <w:pPr>
              <w:spacing w:line="300" w:lineRule="auto"/>
              <w:jc w:val="center"/>
            </w:pPr>
          </w:p>
        </w:tc>
        <w:tc>
          <w:tcPr>
            <w:tcW w:w="311" w:type="pct"/>
            <w:vAlign w:val="center"/>
          </w:tcPr>
          <w:p w14:paraId="31EBF87E">
            <w:pPr>
              <w:spacing w:line="300" w:lineRule="auto"/>
              <w:jc w:val="center"/>
            </w:pPr>
          </w:p>
        </w:tc>
        <w:tc>
          <w:tcPr>
            <w:tcW w:w="372" w:type="pct"/>
            <w:vAlign w:val="center"/>
          </w:tcPr>
          <w:p w14:paraId="327C0CE6">
            <w:pPr>
              <w:spacing w:line="300" w:lineRule="auto"/>
            </w:pPr>
          </w:p>
        </w:tc>
        <w:tc>
          <w:tcPr>
            <w:tcW w:w="439" w:type="pct"/>
          </w:tcPr>
          <w:p w14:paraId="130CD35A">
            <w:pPr>
              <w:spacing w:line="300" w:lineRule="auto"/>
            </w:pPr>
          </w:p>
        </w:tc>
        <w:tc>
          <w:tcPr>
            <w:tcW w:w="681" w:type="pct"/>
            <w:vAlign w:val="center"/>
          </w:tcPr>
          <w:p w14:paraId="38E8DEC4">
            <w:pPr>
              <w:spacing w:line="300" w:lineRule="auto"/>
            </w:pPr>
          </w:p>
        </w:tc>
        <w:tc>
          <w:tcPr>
            <w:tcW w:w="454" w:type="pct"/>
          </w:tcPr>
          <w:p w14:paraId="2EF7BA78">
            <w:pPr>
              <w:spacing w:line="300" w:lineRule="auto"/>
            </w:pPr>
          </w:p>
        </w:tc>
        <w:tc>
          <w:tcPr>
            <w:tcW w:w="606" w:type="pct"/>
            <w:vAlign w:val="center"/>
          </w:tcPr>
          <w:p w14:paraId="6099DF2D">
            <w:pPr>
              <w:spacing w:line="300" w:lineRule="auto"/>
            </w:pPr>
          </w:p>
        </w:tc>
        <w:tc>
          <w:tcPr>
            <w:tcW w:w="465" w:type="pct"/>
          </w:tcPr>
          <w:p w14:paraId="62DE2083">
            <w:pPr>
              <w:spacing w:line="300" w:lineRule="auto"/>
            </w:pPr>
          </w:p>
        </w:tc>
      </w:tr>
      <w:tr w14:paraId="51DE1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2" w:hRule="atLeast"/>
        </w:trPr>
        <w:tc>
          <w:tcPr>
            <w:tcW w:w="617" w:type="pct"/>
            <w:vAlign w:val="center"/>
          </w:tcPr>
          <w:p w14:paraId="2BD84663">
            <w:pPr>
              <w:spacing w:line="300" w:lineRule="auto"/>
              <w:jc w:val="center"/>
            </w:pPr>
          </w:p>
        </w:tc>
        <w:tc>
          <w:tcPr>
            <w:tcW w:w="248" w:type="pct"/>
            <w:vAlign w:val="center"/>
          </w:tcPr>
          <w:p w14:paraId="6AD3A373">
            <w:pPr>
              <w:spacing w:line="300" w:lineRule="auto"/>
              <w:jc w:val="center"/>
            </w:pPr>
          </w:p>
        </w:tc>
        <w:tc>
          <w:tcPr>
            <w:tcW w:w="248" w:type="pct"/>
            <w:vAlign w:val="center"/>
          </w:tcPr>
          <w:p w14:paraId="24833853">
            <w:pPr>
              <w:spacing w:line="300" w:lineRule="auto"/>
              <w:jc w:val="center"/>
            </w:pPr>
          </w:p>
        </w:tc>
        <w:tc>
          <w:tcPr>
            <w:tcW w:w="248" w:type="pct"/>
            <w:vAlign w:val="center"/>
          </w:tcPr>
          <w:p w14:paraId="606E8236">
            <w:pPr>
              <w:spacing w:line="300" w:lineRule="auto"/>
              <w:jc w:val="center"/>
            </w:pPr>
          </w:p>
        </w:tc>
        <w:tc>
          <w:tcPr>
            <w:tcW w:w="311" w:type="pct"/>
            <w:vAlign w:val="center"/>
          </w:tcPr>
          <w:p w14:paraId="57B74C20">
            <w:pPr>
              <w:spacing w:line="300" w:lineRule="auto"/>
              <w:jc w:val="center"/>
            </w:pPr>
          </w:p>
        </w:tc>
        <w:tc>
          <w:tcPr>
            <w:tcW w:w="311" w:type="pct"/>
            <w:vAlign w:val="center"/>
          </w:tcPr>
          <w:p w14:paraId="454AAF30">
            <w:pPr>
              <w:spacing w:line="300" w:lineRule="auto"/>
              <w:jc w:val="center"/>
            </w:pPr>
          </w:p>
        </w:tc>
        <w:tc>
          <w:tcPr>
            <w:tcW w:w="372" w:type="pct"/>
            <w:vAlign w:val="center"/>
          </w:tcPr>
          <w:p w14:paraId="46525AAF">
            <w:pPr>
              <w:spacing w:line="300" w:lineRule="auto"/>
            </w:pPr>
          </w:p>
        </w:tc>
        <w:tc>
          <w:tcPr>
            <w:tcW w:w="439" w:type="pct"/>
          </w:tcPr>
          <w:p w14:paraId="20F9EFB0">
            <w:pPr>
              <w:spacing w:line="300" w:lineRule="auto"/>
            </w:pPr>
          </w:p>
        </w:tc>
        <w:tc>
          <w:tcPr>
            <w:tcW w:w="681" w:type="pct"/>
            <w:vAlign w:val="center"/>
          </w:tcPr>
          <w:p w14:paraId="0451779C">
            <w:pPr>
              <w:spacing w:line="300" w:lineRule="auto"/>
            </w:pPr>
          </w:p>
        </w:tc>
        <w:tc>
          <w:tcPr>
            <w:tcW w:w="454" w:type="pct"/>
          </w:tcPr>
          <w:p w14:paraId="7F94BFFF">
            <w:pPr>
              <w:spacing w:line="300" w:lineRule="auto"/>
            </w:pPr>
          </w:p>
        </w:tc>
        <w:tc>
          <w:tcPr>
            <w:tcW w:w="606" w:type="pct"/>
            <w:vAlign w:val="center"/>
          </w:tcPr>
          <w:p w14:paraId="7513181B">
            <w:pPr>
              <w:spacing w:line="300" w:lineRule="auto"/>
            </w:pPr>
          </w:p>
        </w:tc>
        <w:tc>
          <w:tcPr>
            <w:tcW w:w="465" w:type="pct"/>
          </w:tcPr>
          <w:p w14:paraId="32DA8DF8">
            <w:pPr>
              <w:spacing w:line="300" w:lineRule="auto"/>
            </w:pPr>
          </w:p>
        </w:tc>
      </w:tr>
    </w:tbl>
    <w:p w14:paraId="163F642B">
      <w:pPr>
        <w:adjustRightInd w:val="0"/>
        <w:spacing w:beforeLines="100" w:afterLines="100" w:line="310" w:lineRule="exact"/>
      </w:pPr>
    </w:p>
    <w:p w14:paraId="510CB742">
      <w:pPr>
        <w:adjustRightInd w:val="0"/>
        <w:spacing w:beforeLines="100" w:afterLines="100" w:line="310" w:lineRule="exact"/>
      </w:pPr>
    </w:p>
    <w:p w14:paraId="5632D724">
      <w:pPr>
        <w:pStyle w:val="38"/>
        <w:adjustRightInd w:val="0"/>
        <w:spacing w:beforeLines="100" w:afterLines="100" w:line="310" w:lineRule="exact"/>
        <w:ind w:left="432" w:firstLine="0" w:firstLineChars="0"/>
      </w:pPr>
    </w:p>
    <w:p w14:paraId="4539A56E"/>
    <w:p w14:paraId="22161BE0">
      <w:pPr>
        <w:pStyle w:val="14"/>
        <w:ind w:firstLine="393"/>
        <w:jc w:val="center"/>
        <w:rPr>
          <w:bCs/>
          <w:sz w:val="21"/>
          <w:szCs w:val="21"/>
        </w:rPr>
      </w:pPr>
    </w:p>
    <w:p w14:paraId="194F221B">
      <w:pPr>
        <w:pStyle w:val="14"/>
        <w:ind w:firstLine="393"/>
        <w:jc w:val="center"/>
        <w:rPr>
          <w:bCs/>
          <w:sz w:val="21"/>
          <w:szCs w:val="21"/>
        </w:rPr>
        <w:sectPr>
          <w:pgSz w:w="12240" w:h="15840"/>
          <w:pgMar w:top="1440" w:right="1800" w:bottom="1440" w:left="1800" w:header="720" w:footer="720" w:gutter="0"/>
          <w:cols w:space="720" w:num="1"/>
        </w:sectPr>
      </w:pPr>
      <w:r>
        <w:rPr>
          <w:bCs/>
          <w:sz w:val="21"/>
          <w:szCs w:val="21"/>
        </w:rPr>
        <w:t>建议</w:t>
      </w:r>
      <w:r>
        <w:rPr>
          <w:sz w:val="21"/>
          <w:szCs w:val="21"/>
        </w:rPr>
        <w:t>有效期</w:t>
      </w:r>
      <w:r>
        <w:rPr>
          <w:sz w:val="21"/>
          <w:szCs w:val="21"/>
          <w:u w:val="single"/>
        </w:rPr>
        <w:t xml:space="preserve">    </w:t>
      </w:r>
      <w:r>
        <w:rPr>
          <w:sz w:val="21"/>
          <w:szCs w:val="21"/>
        </w:rPr>
        <w:t>年     校准员</w:t>
      </w:r>
      <w:r>
        <w:rPr>
          <w:sz w:val="21"/>
          <w:szCs w:val="21"/>
          <w:u w:val="single"/>
        </w:rPr>
        <w:t xml:space="preserve">            </w:t>
      </w:r>
      <w:r>
        <w:rPr>
          <w:sz w:val="21"/>
          <w:szCs w:val="21"/>
        </w:rPr>
        <w:t xml:space="preserve">    核验员</w:t>
      </w:r>
      <w:r>
        <w:rPr>
          <w:sz w:val="21"/>
          <w:szCs w:val="21"/>
          <w:u w:val="single"/>
        </w:rPr>
        <w:t xml:space="preserve">            </w:t>
      </w:r>
    </w:p>
    <w:bookmarkEnd w:id="81"/>
    <w:bookmarkEnd w:id="82"/>
    <w:bookmarkEnd w:id="83"/>
    <w:bookmarkEnd w:id="84"/>
    <w:p w14:paraId="5B53ACB1">
      <w:pPr>
        <w:pStyle w:val="2"/>
        <w:spacing w:before="0" w:after="0" w:line="360" w:lineRule="auto"/>
        <w:rPr>
          <w:rFonts w:eastAsia="黑体"/>
          <w:b w:val="0"/>
          <w:sz w:val="28"/>
          <w:szCs w:val="28"/>
        </w:rPr>
      </w:pPr>
      <w:bookmarkStart w:id="92" w:name="_Toc400715021"/>
      <w:r>
        <w:rPr>
          <w:rFonts w:hint="eastAsia" w:eastAsia="黑体"/>
          <w:b w:val="0"/>
          <w:sz w:val="28"/>
          <w:szCs w:val="28"/>
        </w:rPr>
        <w:t>附录</w:t>
      </w:r>
      <w:r>
        <w:rPr>
          <w:rFonts w:eastAsia="黑体"/>
          <w:b w:val="0"/>
          <w:sz w:val="28"/>
          <w:szCs w:val="28"/>
        </w:rPr>
        <w:t>B</w:t>
      </w:r>
    </w:p>
    <w:p w14:paraId="59E4EA54">
      <w:pPr>
        <w:tabs>
          <w:tab w:val="right" w:pos="9360"/>
          <w:tab w:val="right" w:pos="9450"/>
          <w:tab w:val="right" w:leader="dot" w:pos="11340"/>
          <w:tab w:val="right" w:pos="14742"/>
        </w:tabs>
        <w:autoSpaceDE w:val="0"/>
        <w:autoSpaceDN w:val="0"/>
        <w:adjustRightInd w:val="0"/>
        <w:spacing w:line="360" w:lineRule="auto"/>
        <w:jc w:val="center"/>
        <w:rPr>
          <w:rFonts w:eastAsia="黑体"/>
          <w:sz w:val="28"/>
        </w:rPr>
      </w:pPr>
      <w:r>
        <w:rPr>
          <w:rFonts w:eastAsia="黑体"/>
          <w:sz w:val="28"/>
        </w:rPr>
        <w:t>校准证书（内页）格式</w:t>
      </w:r>
    </w:p>
    <w:p w14:paraId="17D5FC5D">
      <w:pPr>
        <w:tabs>
          <w:tab w:val="right" w:pos="9360"/>
          <w:tab w:val="right" w:pos="9450"/>
          <w:tab w:val="right" w:leader="dot" w:pos="11340"/>
          <w:tab w:val="right" w:pos="14742"/>
        </w:tabs>
        <w:autoSpaceDE w:val="0"/>
        <w:autoSpaceDN w:val="0"/>
        <w:adjustRightInd w:val="0"/>
        <w:spacing w:line="360" w:lineRule="auto"/>
        <w:jc w:val="center"/>
        <w:rPr>
          <w:sz w:val="24"/>
          <w:lang w:val="zh-CN"/>
        </w:rPr>
      </w:pPr>
      <w:r>
        <w:rPr>
          <w:sz w:val="24"/>
          <w:lang w:val="zh-CN"/>
        </w:rPr>
        <w:t>（推荐性表格）</w:t>
      </w:r>
    </w:p>
    <w:p w14:paraId="7C45C2C3">
      <w:pPr>
        <w:pStyle w:val="10"/>
        <w:ind w:firstLine="0" w:firstLineChars="0"/>
        <w:jc w:val="left"/>
        <w:rPr>
          <w:bCs/>
          <w:u w:val="single"/>
        </w:rPr>
      </w:pPr>
      <w:r>
        <w:rPr>
          <w:bCs/>
        </w:rPr>
        <w:t>校准证书编号：</w:t>
      </w:r>
      <w:r>
        <w:rPr>
          <w:bCs/>
          <w:u w:val="single"/>
        </w:rPr>
        <w:t xml:space="preserve">                      </w:t>
      </w:r>
    </w:p>
    <w:p w14:paraId="6F75C20C">
      <w:pPr>
        <w:tabs>
          <w:tab w:val="left" w:pos="540"/>
        </w:tabs>
        <w:autoSpaceDE w:val="0"/>
        <w:autoSpaceDN w:val="0"/>
        <w:adjustRightInd w:val="0"/>
        <w:jc w:val="center"/>
        <w:rPr>
          <w:spacing w:val="20"/>
          <w:sz w:val="24"/>
        </w:rPr>
      </w:pPr>
      <w:r>
        <w:rPr>
          <w:spacing w:val="20"/>
          <w:sz w:val="24"/>
        </w:rPr>
        <w:t>校准结果</w:t>
      </w:r>
    </w:p>
    <w:p w14:paraId="1DE65085">
      <w:pPr>
        <w:pStyle w:val="38"/>
        <w:numPr>
          <w:ilvl w:val="0"/>
          <w:numId w:val="3"/>
        </w:numPr>
        <w:adjustRightInd w:val="0"/>
        <w:spacing w:beforeLines="100" w:afterLines="100" w:line="310" w:lineRule="exact"/>
        <w:ind w:firstLineChars="0"/>
        <w:rPr>
          <w:rFonts w:ascii="宋体" w:hAnsi="宋体"/>
          <w:szCs w:val="21"/>
        </w:rPr>
      </w:pPr>
      <w:r>
        <w:rPr>
          <w:rFonts w:hint="eastAsia" w:ascii="宋体" w:hAnsi="宋体"/>
          <w:szCs w:val="21"/>
        </w:rPr>
        <w:t>自放热检测灵敏度</w:t>
      </w:r>
    </w:p>
    <w:tbl>
      <w:tblPr>
        <w:tblStyle w:val="20"/>
        <w:tblW w:w="46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16"/>
        <w:gridCol w:w="1732"/>
        <w:gridCol w:w="2625"/>
        <w:gridCol w:w="1821"/>
      </w:tblGrid>
      <w:tr w14:paraId="3155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1136" w:type="pct"/>
            <w:vMerge w:val="restart"/>
            <w:vAlign w:val="center"/>
          </w:tcPr>
          <w:p w14:paraId="2A2B17FD">
            <w:pPr>
              <w:jc w:val="center"/>
            </w:pPr>
            <w:r>
              <w:rPr>
                <w:rFonts w:hint="eastAsia"/>
              </w:rPr>
              <w:t>温度设定值</w:t>
            </w:r>
          </w:p>
          <w:p w14:paraId="6824BC9E">
            <w:pPr>
              <w:jc w:val="center"/>
            </w:pPr>
            <w:r>
              <w:rPr>
                <w:rFonts w:eastAsia="楷体_GB2312"/>
              </w:rPr>
              <w:t>℃</w:t>
            </w:r>
          </w:p>
        </w:tc>
        <w:tc>
          <w:tcPr>
            <w:tcW w:w="1083" w:type="pct"/>
            <w:vMerge w:val="restart"/>
            <w:vAlign w:val="center"/>
          </w:tcPr>
          <w:p w14:paraId="0EB5E01E">
            <w:pPr>
              <w:jc w:val="center"/>
            </w:pPr>
            <w:r>
              <w:rPr>
                <w:rFonts w:hint="eastAsia"/>
              </w:rPr>
              <w:t>升温速率设定值</w:t>
            </w:r>
          </w:p>
          <w:p w14:paraId="43A8DA12">
            <w:pPr>
              <w:jc w:val="center"/>
            </w:pPr>
            <w:r>
              <w:rPr>
                <w:rFonts w:eastAsia="楷体_GB2312"/>
              </w:rPr>
              <w:t>℃</w:t>
            </w:r>
            <w:r>
              <w:rPr>
                <w:rFonts w:hint="eastAsia" w:eastAsia="楷体_GB2312"/>
              </w:rPr>
              <w:t>/min</w:t>
            </w:r>
          </w:p>
        </w:tc>
        <w:tc>
          <w:tcPr>
            <w:tcW w:w="1642" w:type="pct"/>
            <w:vMerge w:val="restart"/>
            <w:vAlign w:val="center"/>
          </w:tcPr>
          <w:p w14:paraId="2F999FE2">
            <w:pPr>
              <w:ind w:firstLine="210" w:firstLineChars="100"/>
              <w:rPr>
                <w:rFonts w:ascii="宋体" w:hAnsi="宋体"/>
                <w:szCs w:val="21"/>
              </w:rPr>
            </w:pPr>
            <w:r>
              <w:rPr>
                <w:rFonts w:hint="eastAsia" w:ascii="宋体" w:hAnsi="宋体"/>
                <w:szCs w:val="21"/>
              </w:rPr>
              <w:t>自放热检测灵敏度</w:t>
            </w:r>
          </w:p>
          <w:p w14:paraId="0AF25D84">
            <w:pPr>
              <w:jc w:val="center"/>
            </w:pPr>
            <w:r>
              <w:rPr>
                <w:rFonts w:eastAsia="楷体_GB2312"/>
              </w:rPr>
              <w:t>℃</w:t>
            </w:r>
            <w:r>
              <w:rPr>
                <w:rFonts w:hint="eastAsia" w:eastAsia="楷体_GB2312"/>
              </w:rPr>
              <w:t>/min</w:t>
            </w:r>
          </w:p>
        </w:tc>
        <w:tc>
          <w:tcPr>
            <w:tcW w:w="1139" w:type="pct"/>
            <w:vMerge w:val="restart"/>
            <w:vAlign w:val="center"/>
          </w:tcPr>
          <w:p w14:paraId="5810BACF">
            <w:pPr>
              <w:jc w:val="center"/>
            </w:pPr>
            <w:r>
              <w:t>不确定度</w:t>
            </w:r>
          </w:p>
          <w:p w14:paraId="631939EB">
            <w:pPr>
              <w:jc w:val="center"/>
              <w:rPr>
                <w:vertAlign w:val="subscript"/>
              </w:rPr>
            </w:pPr>
            <w:r>
              <w:rPr>
                <w:rFonts w:eastAsia="楷体_GB2312"/>
              </w:rPr>
              <w:t>℃</w:t>
            </w:r>
            <w:r>
              <w:rPr>
                <w:rFonts w:hint="eastAsia" w:eastAsia="楷体_GB2312"/>
              </w:rPr>
              <w:t>/min</w:t>
            </w:r>
          </w:p>
        </w:tc>
      </w:tr>
      <w:tr w14:paraId="7DEE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1136" w:type="pct"/>
            <w:vMerge w:val="continue"/>
            <w:vAlign w:val="center"/>
          </w:tcPr>
          <w:p w14:paraId="12BFF283">
            <w:pPr>
              <w:spacing w:line="300" w:lineRule="auto"/>
            </w:pPr>
          </w:p>
        </w:tc>
        <w:tc>
          <w:tcPr>
            <w:tcW w:w="1083" w:type="pct"/>
            <w:vMerge w:val="continue"/>
            <w:vAlign w:val="center"/>
          </w:tcPr>
          <w:p w14:paraId="4BF7583D">
            <w:pPr>
              <w:spacing w:line="300" w:lineRule="auto"/>
            </w:pPr>
          </w:p>
        </w:tc>
        <w:tc>
          <w:tcPr>
            <w:tcW w:w="1642" w:type="pct"/>
            <w:vMerge w:val="continue"/>
            <w:vAlign w:val="center"/>
          </w:tcPr>
          <w:p w14:paraId="4F0740E6">
            <w:pPr>
              <w:spacing w:line="300" w:lineRule="auto"/>
            </w:pPr>
          </w:p>
        </w:tc>
        <w:tc>
          <w:tcPr>
            <w:tcW w:w="1139" w:type="pct"/>
            <w:vMerge w:val="continue"/>
            <w:vAlign w:val="center"/>
          </w:tcPr>
          <w:p w14:paraId="0481288C">
            <w:pPr>
              <w:spacing w:line="300" w:lineRule="auto"/>
            </w:pPr>
          </w:p>
        </w:tc>
      </w:tr>
      <w:tr w14:paraId="1DE8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1136" w:type="pct"/>
            <w:vAlign w:val="center"/>
          </w:tcPr>
          <w:p w14:paraId="5249A21D">
            <w:pPr>
              <w:spacing w:line="300" w:lineRule="auto"/>
              <w:jc w:val="center"/>
            </w:pPr>
          </w:p>
        </w:tc>
        <w:tc>
          <w:tcPr>
            <w:tcW w:w="1083" w:type="pct"/>
            <w:vAlign w:val="center"/>
          </w:tcPr>
          <w:p w14:paraId="7228E063">
            <w:pPr>
              <w:spacing w:line="300" w:lineRule="auto"/>
            </w:pPr>
          </w:p>
        </w:tc>
        <w:tc>
          <w:tcPr>
            <w:tcW w:w="1642" w:type="pct"/>
            <w:vAlign w:val="center"/>
          </w:tcPr>
          <w:p w14:paraId="617257D5">
            <w:pPr>
              <w:spacing w:line="300" w:lineRule="auto"/>
            </w:pPr>
          </w:p>
        </w:tc>
        <w:tc>
          <w:tcPr>
            <w:tcW w:w="1139" w:type="pct"/>
            <w:vAlign w:val="center"/>
          </w:tcPr>
          <w:p w14:paraId="48FD0658">
            <w:pPr>
              <w:spacing w:line="300" w:lineRule="auto"/>
            </w:pPr>
          </w:p>
        </w:tc>
      </w:tr>
      <w:tr w14:paraId="42B35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1136" w:type="pct"/>
            <w:vAlign w:val="center"/>
          </w:tcPr>
          <w:p w14:paraId="6E0A9C1E">
            <w:pPr>
              <w:spacing w:line="300" w:lineRule="auto"/>
              <w:jc w:val="center"/>
            </w:pPr>
          </w:p>
        </w:tc>
        <w:tc>
          <w:tcPr>
            <w:tcW w:w="1083" w:type="pct"/>
            <w:vAlign w:val="center"/>
          </w:tcPr>
          <w:p w14:paraId="7377F7D2">
            <w:pPr>
              <w:spacing w:line="300" w:lineRule="auto"/>
            </w:pPr>
          </w:p>
        </w:tc>
        <w:tc>
          <w:tcPr>
            <w:tcW w:w="1642" w:type="pct"/>
            <w:vAlign w:val="center"/>
          </w:tcPr>
          <w:p w14:paraId="11678E60">
            <w:pPr>
              <w:spacing w:line="300" w:lineRule="auto"/>
            </w:pPr>
          </w:p>
        </w:tc>
        <w:tc>
          <w:tcPr>
            <w:tcW w:w="1139" w:type="pct"/>
            <w:vAlign w:val="center"/>
          </w:tcPr>
          <w:p w14:paraId="7014EF05">
            <w:pPr>
              <w:spacing w:line="300" w:lineRule="auto"/>
            </w:pPr>
          </w:p>
        </w:tc>
      </w:tr>
    </w:tbl>
    <w:p w14:paraId="6165DC2A">
      <w:pPr>
        <w:pStyle w:val="38"/>
        <w:numPr>
          <w:ilvl w:val="0"/>
          <w:numId w:val="3"/>
        </w:numPr>
        <w:adjustRightInd w:val="0"/>
        <w:spacing w:beforeLines="100" w:afterLines="100" w:line="310" w:lineRule="exact"/>
        <w:ind w:firstLineChars="0"/>
      </w:pPr>
      <w:r>
        <w:rPr>
          <w:rFonts w:hint="eastAsia"/>
        </w:rPr>
        <w:t>电池充放电产热量相对</w:t>
      </w:r>
      <w:r>
        <w:t>误差</w:t>
      </w:r>
    </w:p>
    <w:tbl>
      <w:tblPr>
        <w:tblStyle w:val="20"/>
        <w:tblW w:w="44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74"/>
        <w:gridCol w:w="2977"/>
        <w:gridCol w:w="2182"/>
      </w:tblGrid>
      <w:tr w14:paraId="46A8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1621" w:type="pct"/>
            <w:vMerge w:val="restart"/>
            <w:vAlign w:val="center"/>
          </w:tcPr>
          <w:p w14:paraId="07DCF368">
            <w:pPr>
              <w:jc w:val="center"/>
            </w:pPr>
            <w:r>
              <w:rPr>
                <w:rFonts w:hint="eastAsia"/>
              </w:rPr>
              <w:t>升温速率设定值</w:t>
            </w:r>
          </w:p>
          <w:p w14:paraId="328C5E72">
            <w:pPr>
              <w:jc w:val="center"/>
            </w:pPr>
            <w:r>
              <w:rPr>
                <w:rFonts w:eastAsia="楷体_GB2312"/>
              </w:rPr>
              <w:t>℃</w:t>
            </w:r>
            <w:r>
              <w:rPr>
                <w:rFonts w:hint="eastAsia" w:eastAsia="楷体_GB2312"/>
              </w:rPr>
              <w:t>/min</w:t>
            </w:r>
          </w:p>
        </w:tc>
        <w:tc>
          <w:tcPr>
            <w:tcW w:w="1950" w:type="pct"/>
            <w:vMerge w:val="restart"/>
            <w:vAlign w:val="center"/>
          </w:tcPr>
          <w:p w14:paraId="6799836E">
            <w:pPr>
              <w:jc w:val="center"/>
            </w:pPr>
            <w:r>
              <w:rPr>
                <w:rFonts w:hint="eastAsia"/>
              </w:rPr>
              <w:t>电池充放电产热量相对</w:t>
            </w:r>
            <w:r>
              <w:t>误差</w:t>
            </w:r>
          </w:p>
          <w:p w14:paraId="19211B02">
            <w:pPr>
              <w:jc w:val="center"/>
            </w:pPr>
            <w:r>
              <w:rPr>
                <w:rFonts w:hint="eastAsia"/>
              </w:rPr>
              <w:t>%</w:t>
            </w:r>
          </w:p>
        </w:tc>
        <w:tc>
          <w:tcPr>
            <w:tcW w:w="1429" w:type="pct"/>
            <w:vMerge w:val="restart"/>
            <w:vAlign w:val="center"/>
          </w:tcPr>
          <w:p w14:paraId="60B6B1C3">
            <w:pPr>
              <w:jc w:val="center"/>
            </w:pPr>
            <w:r>
              <w:t>不确定度</w:t>
            </w:r>
          </w:p>
          <w:p w14:paraId="21C2CFA4">
            <w:pPr>
              <w:jc w:val="center"/>
              <w:rPr>
                <w:vertAlign w:val="subscript"/>
              </w:rPr>
            </w:pPr>
            <w:r>
              <w:rPr>
                <w:rFonts w:hint="eastAsia" w:eastAsia="楷体_GB2312"/>
              </w:rPr>
              <w:t>%</w:t>
            </w:r>
          </w:p>
        </w:tc>
      </w:tr>
      <w:tr w14:paraId="5E14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1621" w:type="pct"/>
            <w:vMerge w:val="continue"/>
            <w:vAlign w:val="center"/>
          </w:tcPr>
          <w:p w14:paraId="5F8DC316">
            <w:pPr>
              <w:spacing w:line="300" w:lineRule="auto"/>
            </w:pPr>
          </w:p>
        </w:tc>
        <w:tc>
          <w:tcPr>
            <w:tcW w:w="1950" w:type="pct"/>
            <w:vMerge w:val="continue"/>
            <w:vAlign w:val="center"/>
          </w:tcPr>
          <w:p w14:paraId="4DD47106">
            <w:pPr>
              <w:spacing w:line="300" w:lineRule="auto"/>
            </w:pPr>
          </w:p>
        </w:tc>
        <w:tc>
          <w:tcPr>
            <w:tcW w:w="1429" w:type="pct"/>
            <w:vMerge w:val="continue"/>
            <w:vAlign w:val="center"/>
          </w:tcPr>
          <w:p w14:paraId="5A94FE94">
            <w:pPr>
              <w:spacing w:line="300" w:lineRule="auto"/>
            </w:pPr>
          </w:p>
        </w:tc>
      </w:tr>
      <w:tr w14:paraId="4D3B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1621" w:type="pct"/>
            <w:vAlign w:val="center"/>
          </w:tcPr>
          <w:p w14:paraId="7733EE2E">
            <w:pPr>
              <w:spacing w:line="300" w:lineRule="auto"/>
            </w:pPr>
          </w:p>
        </w:tc>
        <w:tc>
          <w:tcPr>
            <w:tcW w:w="1950" w:type="pct"/>
            <w:vAlign w:val="center"/>
          </w:tcPr>
          <w:p w14:paraId="2B9F8E77">
            <w:pPr>
              <w:spacing w:line="300" w:lineRule="auto"/>
            </w:pPr>
          </w:p>
        </w:tc>
        <w:tc>
          <w:tcPr>
            <w:tcW w:w="1429" w:type="pct"/>
            <w:vAlign w:val="center"/>
          </w:tcPr>
          <w:p w14:paraId="34F5FFC2">
            <w:pPr>
              <w:spacing w:line="300" w:lineRule="auto"/>
            </w:pPr>
          </w:p>
        </w:tc>
      </w:tr>
      <w:tr w14:paraId="40007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1621" w:type="pct"/>
            <w:vAlign w:val="center"/>
          </w:tcPr>
          <w:p w14:paraId="68A666B9">
            <w:pPr>
              <w:spacing w:line="300" w:lineRule="auto"/>
            </w:pPr>
          </w:p>
        </w:tc>
        <w:tc>
          <w:tcPr>
            <w:tcW w:w="1950" w:type="pct"/>
            <w:vAlign w:val="center"/>
          </w:tcPr>
          <w:p w14:paraId="2DFC1E09">
            <w:pPr>
              <w:spacing w:line="300" w:lineRule="auto"/>
            </w:pPr>
          </w:p>
        </w:tc>
        <w:tc>
          <w:tcPr>
            <w:tcW w:w="1429" w:type="pct"/>
            <w:vAlign w:val="center"/>
          </w:tcPr>
          <w:p w14:paraId="6588F597">
            <w:pPr>
              <w:spacing w:line="300" w:lineRule="auto"/>
            </w:pPr>
          </w:p>
        </w:tc>
      </w:tr>
    </w:tbl>
    <w:p w14:paraId="12ED6F30">
      <w:pPr>
        <w:pStyle w:val="38"/>
        <w:numPr>
          <w:ilvl w:val="0"/>
          <w:numId w:val="3"/>
        </w:numPr>
        <w:adjustRightInd w:val="0"/>
        <w:spacing w:beforeLines="100" w:afterLines="100" w:line="310" w:lineRule="exact"/>
        <w:ind w:firstLineChars="0"/>
      </w:pPr>
      <w:r>
        <w:rPr>
          <w:rFonts w:hint="eastAsia"/>
        </w:rPr>
        <w:t>温度示值误差和温度波动度</w:t>
      </w:r>
    </w:p>
    <w:tbl>
      <w:tblPr>
        <w:tblStyle w:val="20"/>
        <w:tblW w:w="46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9"/>
        <w:gridCol w:w="818"/>
        <w:gridCol w:w="966"/>
        <w:gridCol w:w="1498"/>
        <w:gridCol w:w="999"/>
        <w:gridCol w:w="1333"/>
        <w:gridCol w:w="1018"/>
      </w:tblGrid>
      <w:tr w14:paraId="77AB7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850" w:type="pct"/>
            <w:vMerge w:val="restart"/>
            <w:vAlign w:val="center"/>
          </w:tcPr>
          <w:p w14:paraId="2ED1BF86">
            <w:pPr>
              <w:jc w:val="center"/>
            </w:pPr>
            <w:r>
              <w:rPr>
                <w:rFonts w:hint="eastAsia"/>
              </w:rPr>
              <w:t>温度设定值</w:t>
            </w:r>
          </w:p>
          <w:p w14:paraId="6B48D08E">
            <w:pPr>
              <w:jc w:val="center"/>
            </w:pPr>
            <w:r>
              <w:rPr>
                <w:rFonts w:eastAsia="楷体_GB2312"/>
              </w:rPr>
              <w:t>℃</w:t>
            </w:r>
          </w:p>
        </w:tc>
        <w:tc>
          <w:tcPr>
            <w:tcW w:w="512" w:type="pct"/>
            <w:vMerge w:val="restart"/>
            <w:vAlign w:val="center"/>
          </w:tcPr>
          <w:p w14:paraId="3C81A28B">
            <w:pPr>
              <w:jc w:val="center"/>
            </w:pPr>
            <w:r>
              <w:rPr>
                <w:rFonts w:hint="eastAsia"/>
              </w:rPr>
              <w:t>标准器</w:t>
            </w:r>
          </w:p>
          <w:p w14:paraId="6171E32A">
            <w:pPr>
              <w:jc w:val="center"/>
            </w:pPr>
            <w:r>
              <w:t>平均值</w:t>
            </w:r>
          </w:p>
          <w:p w14:paraId="1D96388F">
            <w:pPr>
              <w:jc w:val="center"/>
            </w:pPr>
            <w:r>
              <w:rPr>
                <w:rFonts w:eastAsia="楷体_GB2312"/>
              </w:rPr>
              <w:t>℃</w:t>
            </w:r>
          </w:p>
        </w:tc>
        <w:tc>
          <w:tcPr>
            <w:tcW w:w="604" w:type="pct"/>
            <w:vMerge w:val="restart"/>
            <w:vAlign w:val="center"/>
          </w:tcPr>
          <w:p w14:paraId="67FF5F64">
            <w:pPr>
              <w:jc w:val="center"/>
            </w:pPr>
            <w:r>
              <w:rPr>
                <w:rFonts w:hint="eastAsia"/>
              </w:rPr>
              <w:t>仪器</w:t>
            </w:r>
          </w:p>
          <w:p w14:paraId="1B3223D7">
            <w:pPr>
              <w:jc w:val="center"/>
            </w:pPr>
            <w:r>
              <w:t>平均值</w:t>
            </w:r>
          </w:p>
          <w:p w14:paraId="67AC177E">
            <w:pPr>
              <w:jc w:val="center"/>
            </w:pPr>
            <w:r>
              <w:rPr>
                <w:rFonts w:eastAsia="楷体_GB2312"/>
              </w:rPr>
              <w:t>℃</w:t>
            </w:r>
          </w:p>
        </w:tc>
        <w:tc>
          <w:tcPr>
            <w:tcW w:w="937" w:type="pct"/>
            <w:vMerge w:val="restart"/>
            <w:vAlign w:val="center"/>
          </w:tcPr>
          <w:p w14:paraId="41959FBA">
            <w:pPr>
              <w:jc w:val="center"/>
            </w:pPr>
            <w:r>
              <w:t>温度示值误差</w:t>
            </w:r>
          </w:p>
          <w:p w14:paraId="057E58C0">
            <w:pPr>
              <w:jc w:val="center"/>
            </w:pPr>
            <w:r>
              <w:rPr>
                <w:rFonts w:eastAsia="楷体_GB2312"/>
              </w:rPr>
              <w:t>℃</w:t>
            </w:r>
          </w:p>
        </w:tc>
        <w:tc>
          <w:tcPr>
            <w:tcW w:w="625" w:type="pct"/>
            <w:vMerge w:val="restart"/>
            <w:vAlign w:val="center"/>
          </w:tcPr>
          <w:p w14:paraId="69DF167A">
            <w:pPr>
              <w:jc w:val="center"/>
            </w:pPr>
            <w:r>
              <w:t>不确定度</w:t>
            </w:r>
          </w:p>
          <w:p w14:paraId="4E338980">
            <w:pPr>
              <w:jc w:val="center"/>
            </w:pPr>
            <w:r>
              <w:rPr>
                <w:rFonts w:eastAsia="楷体_GB2312"/>
              </w:rPr>
              <w:t>℃</w:t>
            </w:r>
          </w:p>
        </w:tc>
        <w:tc>
          <w:tcPr>
            <w:tcW w:w="834" w:type="pct"/>
            <w:vMerge w:val="restart"/>
            <w:vAlign w:val="center"/>
          </w:tcPr>
          <w:p w14:paraId="458F47AF">
            <w:pPr>
              <w:jc w:val="center"/>
            </w:pPr>
            <w:r>
              <w:rPr>
                <w:rFonts w:hint="eastAsia"/>
              </w:rPr>
              <w:t>温度波动度</w:t>
            </w:r>
          </w:p>
          <w:p w14:paraId="3B0785B4">
            <w:pPr>
              <w:jc w:val="center"/>
            </w:pPr>
            <w:r>
              <w:rPr>
                <w:rFonts w:eastAsia="楷体_GB2312"/>
              </w:rPr>
              <w:t>℃</w:t>
            </w:r>
          </w:p>
        </w:tc>
        <w:tc>
          <w:tcPr>
            <w:tcW w:w="637" w:type="pct"/>
            <w:vMerge w:val="restart"/>
            <w:vAlign w:val="center"/>
          </w:tcPr>
          <w:p w14:paraId="5C7BF8EB">
            <w:pPr>
              <w:jc w:val="center"/>
            </w:pPr>
            <w:r>
              <w:t>不确定度</w:t>
            </w:r>
          </w:p>
          <w:p w14:paraId="54A2F68B">
            <w:pPr>
              <w:jc w:val="center"/>
            </w:pPr>
            <w:r>
              <w:rPr>
                <w:rFonts w:eastAsia="楷体_GB2312"/>
              </w:rPr>
              <w:t>℃</w:t>
            </w:r>
          </w:p>
        </w:tc>
      </w:tr>
      <w:tr w14:paraId="4666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850" w:type="pct"/>
            <w:vMerge w:val="continue"/>
            <w:vAlign w:val="center"/>
          </w:tcPr>
          <w:p w14:paraId="661E5AA7">
            <w:pPr>
              <w:spacing w:line="300" w:lineRule="auto"/>
            </w:pPr>
          </w:p>
        </w:tc>
        <w:tc>
          <w:tcPr>
            <w:tcW w:w="512" w:type="pct"/>
            <w:vMerge w:val="continue"/>
            <w:vAlign w:val="center"/>
          </w:tcPr>
          <w:p w14:paraId="32D49B88">
            <w:pPr>
              <w:spacing w:line="300" w:lineRule="auto"/>
            </w:pPr>
          </w:p>
        </w:tc>
        <w:tc>
          <w:tcPr>
            <w:tcW w:w="604" w:type="pct"/>
            <w:vMerge w:val="continue"/>
          </w:tcPr>
          <w:p w14:paraId="5890376F">
            <w:pPr>
              <w:spacing w:line="300" w:lineRule="auto"/>
            </w:pPr>
          </w:p>
        </w:tc>
        <w:tc>
          <w:tcPr>
            <w:tcW w:w="937" w:type="pct"/>
            <w:vMerge w:val="continue"/>
            <w:vAlign w:val="center"/>
          </w:tcPr>
          <w:p w14:paraId="4DDF1EC7">
            <w:pPr>
              <w:spacing w:line="300" w:lineRule="auto"/>
            </w:pPr>
          </w:p>
        </w:tc>
        <w:tc>
          <w:tcPr>
            <w:tcW w:w="625" w:type="pct"/>
            <w:vMerge w:val="continue"/>
          </w:tcPr>
          <w:p w14:paraId="3FBB0EE6">
            <w:pPr>
              <w:spacing w:line="300" w:lineRule="auto"/>
            </w:pPr>
          </w:p>
        </w:tc>
        <w:tc>
          <w:tcPr>
            <w:tcW w:w="834" w:type="pct"/>
            <w:vMerge w:val="continue"/>
            <w:vAlign w:val="center"/>
          </w:tcPr>
          <w:p w14:paraId="7FC73193">
            <w:pPr>
              <w:spacing w:line="300" w:lineRule="auto"/>
            </w:pPr>
          </w:p>
        </w:tc>
        <w:tc>
          <w:tcPr>
            <w:tcW w:w="637" w:type="pct"/>
            <w:vMerge w:val="continue"/>
          </w:tcPr>
          <w:p w14:paraId="39C7136F">
            <w:pPr>
              <w:spacing w:line="300" w:lineRule="auto"/>
            </w:pPr>
          </w:p>
        </w:tc>
      </w:tr>
      <w:tr w14:paraId="1669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3" w:hRule="atLeast"/>
          <w:jc w:val="center"/>
        </w:trPr>
        <w:tc>
          <w:tcPr>
            <w:tcW w:w="850" w:type="pct"/>
            <w:vAlign w:val="center"/>
          </w:tcPr>
          <w:p w14:paraId="0EDFD499">
            <w:pPr>
              <w:spacing w:line="300" w:lineRule="auto"/>
              <w:jc w:val="center"/>
            </w:pPr>
          </w:p>
        </w:tc>
        <w:tc>
          <w:tcPr>
            <w:tcW w:w="512" w:type="pct"/>
            <w:vAlign w:val="center"/>
          </w:tcPr>
          <w:p w14:paraId="09CC5F36">
            <w:pPr>
              <w:spacing w:line="300" w:lineRule="auto"/>
            </w:pPr>
          </w:p>
        </w:tc>
        <w:tc>
          <w:tcPr>
            <w:tcW w:w="604" w:type="pct"/>
          </w:tcPr>
          <w:p w14:paraId="4B2A9944">
            <w:pPr>
              <w:spacing w:line="300" w:lineRule="auto"/>
            </w:pPr>
          </w:p>
        </w:tc>
        <w:tc>
          <w:tcPr>
            <w:tcW w:w="937" w:type="pct"/>
            <w:vAlign w:val="center"/>
          </w:tcPr>
          <w:p w14:paraId="1BD34829">
            <w:pPr>
              <w:spacing w:line="300" w:lineRule="auto"/>
            </w:pPr>
          </w:p>
        </w:tc>
        <w:tc>
          <w:tcPr>
            <w:tcW w:w="625" w:type="pct"/>
          </w:tcPr>
          <w:p w14:paraId="08D4B626">
            <w:pPr>
              <w:spacing w:line="300" w:lineRule="auto"/>
            </w:pPr>
          </w:p>
        </w:tc>
        <w:tc>
          <w:tcPr>
            <w:tcW w:w="834" w:type="pct"/>
            <w:vAlign w:val="center"/>
          </w:tcPr>
          <w:p w14:paraId="7F02B9EB">
            <w:pPr>
              <w:spacing w:line="300" w:lineRule="auto"/>
            </w:pPr>
          </w:p>
        </w:tc>
        <w:tc>
          <w:tcPr>
            <w:tcW w:w="637" w:type="pct"/>
          </w:tcPr>
          <w:p w14:paraId="41A7EEEA">
            <w:pPr>
              <w:spacing w:line="300" w:lineRule="auto"/>
            </w:pPr>
          </w:p>
        </w:tc>
      </w:tr>
      <w:tr w14:paraId="3840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jc w:val="center"/>
        </w:trPr>
        <w:tc>
          <w:tcPr>
            <w:tcW w:w="850" w:type="pct"/>
            <w:vAlign w:val="center"/>
          </w:tcPr>
          <w:p w14:paraId="1A14D8C0">
            <w:pPr>
              <w:spacing w:line="300" w:lineRule="auto"/>
              <w:jc w:val="center"/>
            </w:pPr>
          </w:p>
        </w:tc>
        <w:tc>
          <w:tcPr>
            <w:tcW w:w="512" w:type="pct"/>
            <w:vAlign w:val="center"/>
          </w:tcPr>
          <w:p w14:paraId="5117C494">
            <w:pPr>
              <w:spacing w:line="300" w:lineRule="auto"/>
            </w:pPr>
          </w:p>
        </w:tc>
        <w:tc>
          <w:tcPr>
            <w:tcW w:w="604" w:type="pct"/>
          </w:tcPr>
          <w:p w14:paraId="77836AAA">
            <w:pPr>
              <w:spacing w:line="300" w:lineRule="auto"/>
            </w:pPr>
          </w:p>
        </w:tc>
        <w:tc>
          <w:tcPr>
            <w:tcW w:w="937" w:type="pct"/>
            <w:vAlign w:val="center"/>
          </w:tcPr>
          <w:p w14:paraId="44989460">
            <w:pPr>
              <w:spacing w:line="300" w:lineRule="auto"/>
            </w:pPr>
          </w:p>
        </w:tc>
        <w:tc>
          <w:tcPr>
            <w:tcW w:w="625" w:type="pct"/>
          </w:tcPr>
          <w:p w14:paraId="77F01761">
            <w:pPr>
              <w:spacing w:line="300" w:lineRule="auto"/>
            </w:pPr>
          </w:p>
        </w:tc>
        <w:tc>
          <w:tcPr>
            <w:tcW w:w="834" w:type="pct"/>
            <w:vAlign w:val="center"/>
          </w:tcPr>
          <w:p w14:paraId="6DAEF217">
            <w:pPr>
              <w:spacing w:line="300" w:lineRule="auto"/>
            </w:pPr>
          </w:p>
        </w:tc>
        <w:tc>
          <w:tcPr>
            <w:tcW w:w="637" w:type="pct"/>
          </w:tcPr>
          <w:p w14:paraId="4FB08B5F">
            <w:pPr>
              <w:spacing w:line="300" w:lineRule="auto"/>
            </w:pPr>
          </w:p>
        </w:tc>
      </w:tr>
    </w:tbl>
    <w:p w14:paraId="47CA0009">
      <w:pPr>
        <w:autoSpaceDE w:val="0"/>
        <w:autoSpaceDN w:val="0"/>
        <w:adjustRightInd w:val="0"/>
        <w:jc w:val="center"/>
        <w:rPr>
          <w:sz w:val="24"/>
        </w:rPr>
      </w:pPr>
    </w:p>
    <w:p w14:paraId="6FC86B00">
      <w:pPr>
        <w:autoSpaceDE w:val="0"/>
        <w:autoSpaceDN w:val="0"/>
        <w:adjustRightInd w:val="0"/>
        <w:jc w:val="center"/>
        <w:rPr>
          <w:sz w:val="24"/>
        </w:rPr>
      </w:pPr>
      <w:r>
        <w:rPr>
          <w:sz w:val="24"/>
        </w:rPr>
        <w:t>以下空白</w:t>
      </w:r>
    </w:p>
    <w:p w14:paraId="7EDA3D31">
      <w:pPr>
        <w:tabs>
          <w:tab w:val="right" w:pos="9360"/>
          <w:tab w:val="right" w:pos="9450"/>
          <w:tab w:val="right" w:leader="dot" w:pos="11340"/>
          <w:tab w:val="right" w:pos="14742"/>
        </w:tabs>
        <w:autoSpaceDE w:val="0"/>
        <w:autoSpaceDN w:val="0"/>
        <w:adjustRightInd w:val="0"/>
        <w:spacing w:line="360" w:lineRule="auto"/>
        <w:ind w:firstLine="960" w:firstLineChars="400"/>
        <w:rPr>
          <w:color w:val="000000"/>
          <w:sz w:val="24"/>
          <w:u w:val="single"/>
        </w:rPr>
      </w:pPr>
    </w:p>
    <w:p w14:paraId="796242DD">
      <w:pPr>
        <w:pStyle w:val="2"/>
        <w:spacing w:before="0" w:after="0" w:line="240" w:lineRule="auto"/>
        <w:rPr>
          <w:b w:val="0"/>
          <w:sz w:val="28"/>
          <w:szCs w:val="28"/>
        </w:rPr>
        <w:sectPr>
          <w:pgSz w:w="12240" w:h="15840"/>
          <w:pgMar w:top="1440" w:right="1800" w:bottom="1440" w:left="1800" w:header="720" w:footer="720" w:gutter="0"/>
          <w:cols w:space="720" w:num="1"/>
        </w:sectPr>
      </w:pPr>
    </w:p>
    <w:bookmarkEnd w:id="92"/>
    <w:p w14:paraId="62CC4211">
      <w:pPr>
        <w:pStyle w:val="2"/>
        <w:spacing w:before="0" w:after="0" w:line="360" w:lineRule="auto"/>
        <w:rPr>
          <w:rFonts w:eastAsia="黑体"/>
          <w:b w:val="0"/>
          <w:sz w:val="28"/>
          <w:szCs w:val="28"/>
        </w:rPr>
      </w:pPr>
      <w:bookmarkStart w:id="93" w:name="_Toc17208"/>
      <w:bookmarkStart w:id="94" w:name="_Toc126153628"/>
      <w:bookmarkStart w:id="95" w:name="_Toc7320"/>
      <w:bookmarkStart w:id="96" w:name="_Toc312673553"/>
      <w:bookmarkStart w:id="97" w:name="_Toc26709"/>
      <w:bookmarkStart w:id="98" w:name="_Toc25950"/>
      <w:r>
        <w:rPr>
          <w:rFonts w:hint="eastAsia" w:eastAsia="黑体"/>
          <w:b w:val="0"/>
          <w:sz w:val="28"/>
          <w:szCs w:val="28"/>
        </w:rPr>
        <w:t>附录</w:t>
      </w:r>
      <w:bookmarkEnd w:id="93"/>
      <w:bookmarkEnd w:id="94"/>
      <w:bookmarkEnd w:id="95"/>
      <w:bookmarkEnd w:id="96"/>
      <w:bookmarkEnd w:id="97"/>
      <w:bookmarkEnd w:id="98"/>
      <w:r>
        <w:rPr>
          <w:rFonts w:eastAsia="黑体"/>
          <w:b w:val="0"/>
          <w:sz w:val="28"/>
          <w:szCs w:val="28"/>
        </w:rPr>
        <w:t>C</w:t>
      </w:r>
    </w:p>
    <w:p w14:paraId="482E769A">
      <w:pPr>
        <w:tabs>
          <w:tab w:val="left" w:pos="0"/>
        </w:tabs>
        <w:autoSpaceDE w:val="0"/>
        <w:autoSpaceDN w:val="0"/>
        <w:adjustRightInd w:val="0"/>
        <w:spacing w:line="360" w:lineRule="auto"/>
        <w:jc w:val="center"/>
        <w:rPr>
          <w:rFonts w:eastAsia="黑体"/>
          <w:sz w:val="28"/>
          <w:szCs w:val="28"/>
          <w:lang w:val="zh-CN"/>
        </w:rPr>
      </w:pPr>
      <w:r>
        <w:rPr>
          <w:rFonts w:hint="eastAsia" w:eastAsia="黑体"/>
          <w:sz w:val="28"/>
          <w:szCs w:val="28"/>
        </w:rPr>
        <w:t>锂离子电池电芯热参数测试仪温度示值误差</w:t>
      </w:r>
      <w:r>
        <w:rPr>
          <w:rFonts w:hint="eastAsia" w:eastAsia="黑体"/>
          <w:sz w:val="28"/>
          <w:szCs w:val="28"/>
          <w:lang w:val="zh-CN"/>
        </w:rPr>
        <w:t>不确定度评定示例</w:t>
      </w:r>
    </w:p>
    <w:p w14:paraId="2EA1C429">
      <w:pPr>
        <w:spacing w:line="360" w:lineRule="auto"/>
        <w:rPr>
          <w:sz w:val="24"/>
        </w:rPr>
      </w:pPr>
      <w:r>
        <w:rPr>
          <w:sz w:val="24"/>
        </w:rPr>
        <w:t>C.1 被测对象</w:t>
      </w:r>
    </w:p>
    <w:p w14:paraId="0ADCC092">
      <w:pPr>
        <w:spacing w:line="336" w:lineRule="auto"/>
        <w:ind w:firstLine="420"/>
        <w:rPr>
          <w:sz w:val="24"/>
        </w:rPr>
      </w:pPr>
      <w:r>
        <w:rPr>
          <w:rFonts w:hint="eastAsia"/>
          <w:sz w:val="24"/>
        </w:rPr>
        <w:t>锂离子电池电芯热参数测试仪</w:t>
      </w:r>
      <w:r>
        <w:rPr>
          <w:sz w:val="24"/>
        </w:rPr>
        <w:t>（</w:t>
      </w:r>
      <w:r>
        <w:rPr>
          <w:rFonts w:hint="eastAsia"/>
          <w:sz w:val="24"/>
        </w:rPr>
        <w:t>BAC</w:t>
      </w:r>
      <w:r>
        <w:rPr>
          <w:sz w:val="24"/>
        </w:rPr>
        <w:t>-</w:t>
      </w:r>
      <w:r>
        <w:rPr>
          <w:rFonts w:hint="eastAsia"/>
          <w:sz w:val="24"/>
        </w:rPr>
        <w:t>420</w:t>
      </w:r>
      <w:r>
        <w:rPr>
          <w:sz w:val="24"/>
        </w:rPr>
        <w:t>A），</w:t>
      </w:r>
      <w:r>
        <w:rPr>
          <w:rFonts w:hint="eastAsia"/>
          <w:sz w:val="24"/>
        </w:rPr>
        <w:t>控温</w:t>
      </w:r>
      <w:r>
        <w:rPr>
          <w:sz w:val="24"/>
        </w:rPr>
        <w:t>（室温～</w:t>
      </w:r>
      <w:r>
        <w:rPr>
          <w:rFonts w:hint="eastAsia"/>
          <w:sz w:val="24"/>
        </w:rPr>
        <w:t>3</w:t>
      </w:r>
      <w:r>
        <w:rPr>
          <w:sz w:val="24"/>
        </w:rPr>
        <w:t>00℃），校准温度点</w:t>
      </w:r>
      <w:r>
        <w:rPr>
          <w:rFonts w:hint="eastAsia"/>
          <w:sz w:val="24"/>
        </w:rPr>
        <w:t>1</w:t>
      </w:r>
      <w:r>
        <w:rPr>
          <w:sz w:val="24"/>
        </w:rPr>
        <w:t>5</w:t>
      </w:r>
      <w:r>
        <w:rPr>
          <w:rFonts w:hint="eastAsia"/>
          <w:sz w:val="24"/>
        </w:rPr>
        <w:t>0</w:t>
      </w:r>
      <w:r>
        <w:rPr>
          <w:sz w:val="24"/>
        </w:rPr>
        <w:t>.1℃。</w:t>
      </w:r>
    </w:p>
    <w:p w14:paraId="4D0C9604">
      <w:pPr>
        <w:spacing w:line="336" w:lineRule="auto"/>
        <w:rPr>
          <w:sz w:val="24"/>
        </w:rPr>
      </w:pPr>
      <w:r>
        <w:rPr>
          <w:sz w:val="24"/>
        </w:rPr>
        <w:t>C.2 测量标准</w:t>
      </w:r>
    </w:p>
    <w:p w14:paraId="2E6FF721">
      <w:pPr>
        <w:spacing w:line="336" w:lineRule="auto"/>
        <w:ind w:firstLine="420"/>
        <w:rPr>
          <w:sz w:val="24"/>
        </w:rPr>
      </w:pPr>
      <w:r>
        <w:rPr>
          <w:rFonts w:hint="eastAsia"/>
          <w:sz w:val="24"/>
        </w:rPr>
        <w:t>多通道</w:t>
      </w:r>
      <w:r>
        <w:rPr>
          <w:sz w:val="24"/>
        </w:rPr>
        <w:t>温度测量</w:t>
      </w:r>
      <w:r>
        <w:rPr>
          <w:rFonts w:hint="eastAsia"/>
          <w:sz w:val="24"/>
        </w:rPr>
        <w:t>标准器</w:t>
      </w:r>
      <w:r>
        <w:rPr>
          <w:sz w:val="24"/>
        </w:rPr>
        <w:t>，温度指示分辨力：0.001℃，测量范围：（-</w:t>
      </w:r>
      <w:r>
        <w:rPr>
          <w:rFonts w:hint="eastAsia"/>
          <w:sz w:val="24"/>
        </w:rPr>
        <w:t>50</w:t>
      </w:r>
      <w:r>
        <w:rPr>
          <w:sz w:val="24"/>
        </w:rPr>
        <w:t>～</w:t>
      </w:r>
      <w:r>
        <w:rPr>
          <w:rFonts w:hint="eastAsia"/>
          <w:sz w:val="24"/>
        </w:rPr>
        <w:t>3</w:t>
      </w:r>
      <w:r>
        <w:rPr>
          <w:sz w:val="24"/>
        </w:rPr>
        <w:t>00）℃，测量时带修正值使用，温度不确定度：</w:t>
      </w:r>
      <w:r>
        <w:rPr>
          <w:i/>
          <w:sz w:val="24"/>
        </w:rPr>
        <w:t>U</w:t>
      </w:r>
      <w:r>
        <w:rPr>
          <w:sz w:val="24"/>
        </w:rPr>
        <w:t>=0.04℃（</w:t>
      </w:r>
      <w:r>
        <w:rPr>
          <w:i/>
          <w:sz w:val="24"/>
        </w:rPr>
        <w:t>k</w:t>
      </w:r>
      <w:r>
        <w:rPr>
          <w:sz w:val="24"/>
        </w:rPr>
        <w:t>=2）</w:t>
      </w:r>
      <w:r>
        <w:rPr>
          <w:rFonts w:hint="eastAsia"/>
          <w:sz w:val="24"/>
        </w:rPr>
        <w:t>。</w:t>
      </w:r>
    </w:p>
    <w:p w14:paraId="39F547B2">
      <w:pPr>
        <w:spacing w:line="336" w:lineRule="auto"/>
        <w:rPr>
          <w:sz w:val="24"/>
        </w:rPr>
      </w:pPr>
      <w:r>
        <w:rPr>
          <w:sz w:val="24"/>
        </w:rPr>
        <w:t>C.3 测量方法</w:t>
      </w:r>
    </w:p>
    <w:p w14:paraId="0B7E05BC">
      <w:pPr>
        <w:tabs>
          <w:tab w:val="left" w:pos="540"/>
        </w:tabs>
        <w:autoSpaceDE w:val="0"/>
        <w:autoSpaceDN w:val="0"/>
        <w:adjustRightInd w:val="0"/>
        <w:spacing w:line="360" w:lineRule="auto"/>
        <w:rPr>
          <w:sz w:val="24"/>
        </w:rPr>
      </w:pPr>
      <w:r>
        <w:rPr>
          <w:sz w:val="24"/>
        </w:rPr>
        <w:tab/>
      </w:r>
      <w:r>
        <w:rPr>
          <w:sz w:val="24"/>
        </w:rPr>
        <w:t>标准温度传感</w:t>
      </w:r>
      <w:r>
        <w:rPr>
          <w:rFonts w:hint="eastAsia"/>
          <w:sz w:val="24"/>
        </w:rPr>
        <w:t>器紧贴</w:t>
      </w:r>
      <w:r>
        <w:rPr>
          <w:sz w:val="24"/>
        </w:rPr>
        <w:t>被校准温度传感器</w:t>
      </w:r>
      <w:r>
        <w:rPr>
          <w:rFonts w:hint="eastAsia"/>
          <w:sz w:val="24"/>
        </w:rPr>
        <w:t>，并共同固定于标准样块大面合适位置。</w:t>
      </w:r>
      <w:r>
        <w:rPr>
          <w:sz w:val="24"/>
        </w:rPr>
        <w:t>启动被校</w:t>
      </w:r>
      <w:r>
        <w:rPr>
          <w:rFonts w:hint="eastAsia"/>
          <w:sz w:val="24"/>
        </w:rPr>
        <w:t>锂离子电池电芯热参数测试仪，设置工作模式为恒温模式，并</w:t>
      </w:r>
      <w:r>
        <w:rPr>
          <w:sz w:val="24"/>
        </w:rPr>
        <w:t>将</w:t>
      </w:r>
      <w:r>
        <w:rPr>
          <w:rFonts w:hint="eastAsia"/>
          <w:sz w:val="24"/>
        </w:rPr>
        <w:t>恒温温度</w:t>
      </w:r>
      <w:r>
        <w:rPr>
          <w:sz w:val="24"/>
        </w:rPr>
        <w:t>设定</w:t>
      </w:r>
      <w:r>
        <w:rPr>
          <w:rFonts w:hint="eastAsia"/>
          <w:sz w:val="24"/>
        </w:rPr>
        <w:t>为</w:t>
      </w:r>
      <w:r>
        <w:rPr>
          <w:sz w:val="24"/>
        </w:rPr>
        <w:t>校准温度点，</w:t>
      </w:r>
      <w:r>
        <w:rPr>
          <w:rFonts w:hint="eastAsia"/>
          <w:sz w:val="24"/>
        </w:rPr>
        <w:t>恒温时间设置为不小于60min，</w:t>
      </w:r>
      <w:r>
        <w:rPr>
          <w:sz w:val="24"/>
        </w:rPr>
        <w:t>开启运行。</w:t>
      </w:r>
      <w:r>
        <w:rPr>
          <w:rFonts w:hint="eastAsia"/>
          <w:sz w:val="24"/>
        </w:rPr>
        <w:t>进入温度</w:t>
      </w:r>
      <w:r>
        <w:rPr>
          <w:sz w:val="24"/>
        </w:rPr>
        <w:t>稳定</w:t>
      </w:r>
      <w:r>
        <w:rPr>
          <w:rFonts w:hint="eastAsia"/>
          <w:sz w:val="24"/>
        </w:rPr>
        <w:t>阶段</w:t>
      </w:r>
      <w:r>
        <w:rPr>
          <w:sz w:val="24"/>
        </w:rPr>
        <w:t>后</w:t>
      </w:r>
      <w:r>
        <w:rPr>
          <w:rFonts w:eastAsiaTheme="minorEastAsia"/>
          <w:sz w:val="24"/>
        </w:rPr>
        <w:t>温度测量标准</w:t>
      </w:r>
      <w:r>
        <w:rPr>
          <w:rFonts w:hint="eastAsia" w:eastAsiaTheme="minorEastAsia"/>
          <w:sz w:val="24"/>
        </w:rPr>
        <w:t>器和仪器自带的测温系统分别</w:t>
      </w:r>
      <w:r>
        <w:rPr>
          <w:sz w:val="24"/>
        </w:rPr>
        <w:t>开始记录测量点温度，记录时间间隔为2min，</w:t>
      </w:r>
      <w:r>
        <w:rPr>
          <w:rFonts w:hint="eastAsia"/>
          <w:sz w:val="24"/>
        </w:rPr>
        <w:t>30min内</w:t>
      </w:r>
      <w:r>
        <w:rPr>
          <w:sz w:val="24"/>
        </w:rPr>
        <w:t>共记录</w:t>
      </w:r>
      <w:r>
        <w:rPr>
          <w:rFonts w:hint="eastAsia"/>
          <w:sz w:val="24"/>
        </w:rPr>
        <w:t>16</w:t>
      </w:r>
      <w:r>
        <w:rPr>
          <w:sz w:val="24"/>
        </w:rPr>
        <w:t>组数据，取</w:t>
      </w:r>
      <w:r>
        <w:rPr>
          <w:rFonts w:hint="eastAsia"/>
          <w:sz w:val="24"/>
        </w:rPr>
        <w:t>标准器测量结果的</w:t>
      </w:r>
      <w:r>
        <w:rPr>
          <w:sz w:val="24"/>
        </w:rPr>
        <w:t>算术平均值</w:t>
      </w:r>
      <w:r>
        <w:rPr>
          <w:rFonts w:hint="eastAsia"/>
          <w:sz w:val="24"/>
        </w:rPr>
        <w:t>与仪器自带测温系统测量结果的</w:t>
      </w:r>
      <w:r>
        <w:rPr>
          <w:sz w:val="24"/>
        </w:rPr>
        <w:t>算术平均值进行比较，以两者之差作为温度示值误差。</w:t>
      </w:r>
    </w:p>
    <w:p w14:paraId="53CD411B">
      <w:pPr>
        <w:spacing w:line="336" w:lineRule="auto"/>
        <w:rPr>
          <w:sz w:val="24"/>
        </w:rPr>
      </w:pPr>
      <w:r>
        <w:rPr>
          <w:sz w:val="24"/>
        </w:rPr>
        <w:t>C.4 测量模型</w:t>
      </w:r>
    </w:p>
    <w:p w14:paraId="42681608">
      <w:pPr>
        <w:tabs>
          <w:tab w:val="left" w:pos="540"/>
        </w:tabs>
        <w:autoSpaceDE w:val="0"/>
        <w:autoSpaceDN w:val="0"/>
        <w:adjustRightInd w:val="0"/>
        <w:spacing w:line="360" w:lineRule="auto"/>
        <w:ind w:firstLine="480" w:firstLineChars="200"/>
        <w:rPr>
          <w:sz w:val="24"/>
        </w:rPr>
      </w:pPr>
      <w:r>
        <w:rPr>
          <w:sz w:val="24"/>
        </w:rPr>
        <w:t>温度示值误差按照公式（</w:t>
      </w:r>
      <w:r>
        <w:rPr>
          <w:rFonts w:hint="eastAsia"/>
          <w:sz w:val="24"/>
        </w:rPr>
        <w:t>1</w:t>
      </w:r>
      <w:r>
        <w:rPr>
          <w:sz w:val="24"/>
        </w:rPr>
        <w:t>）计算：</w:t>
      </w:r>
    </w:p>
    <w:p w14:paraId="46626D89">
      <w:pPr>
        <w:tabs>
          <w:tab w:val="left" w:pos="540"/>
        </w:tabs>
        <w:autoSpaceDE w:val="0"/>
        <w:autoSpaceDN w:val="0"/>
        <w:adjustRightInd w:val="0"/>
        <w:spacing w:line="360" w:lineRule="auto"/>
        <w:ind w:firstLine="480" w:firstLineChars="200"/>
        <w:jc w:val="center"/>
        <w:rPr>
          <w:sz w:val="24"/>
        </w:rPr>
      </w:pPr>
      <w:r>
        <w:rPr>
          <w:rFonts w:hint="eastAsia"/>
          <w:sz w:val="24"/>
        </w:rPr>
        <w:t xml:space="preserve">             </w:t>
      </w:r>
      <w:r>
        <w:rPr>
          <w:rFonts w:hint="eastAsia"/>
          <w:i/>
          <w:iCs/>
          <w:sz w:val="24"/>
        </w:rPr>
        <w:t xml:space="preserve"> </w:t>
      </w:r>
      <m:oMath>
        <m:r>
          <m:rPr/>
          <w:rPr>
            <w:rFonts w:ascii="Cambria Math" w:hAnsi="Cambria Math"/>
            <w:sz w:val="24"/>
          </w:rPr>
          <m:t>∆T=</m:t>
        </m:r>
        <m:acc>
          <m:accPr>
            <m:chr m:val="̅"/>
            <m:ctrlPr>
              <w:rPr>
                <w:rFonts w:ascii="Cambria Math" w:hAnsi="Cambria Math"/>
                <w:i/>
                <w:iCs/>
                <w:sz w:val="24"/>
              </w:rPr>
            </m:ctrlPr>
          </m:accPr>
          <m:e>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hint="eastAsia" w:ascii="Cambria Math" w:hAnsi="Cambria Math"/>
                    <w:sz w:val="24"/>
                  </w:rPr>
                  <m:t>s</m:t>
                </m:r>
                <m:ctrlPr>
                  <w:rPr>
                    <w:rFonts w:ascii="Cambria Math" w:hAnsi="Cambria Math"/>
                    <w:i/>
                    <w:iCs/>
                    <w:sz w:val="24"/>
                  </w:rPr>
                </m:ctrlPr>
              </m:sub>
            </m:sSub>
            <m:ctrlPr>
              <w:rPr>
                <w:rFonts w:ascii="Cambria Math" w:hAnsi="Cambria Math"/>
                <w:i/>
                <w:iCs/>
                <w:sz w:val="24"/>
              </w:rPr>
            </m:ctrlPr>
          </m:e>
        </m:acc>
        <m:r>
          <m:rPr/>
          <w:rPr>
            <w:rFonts w:ascii="Cambria Math" w:hAnsi="Cambria Math"/>
            <w:sz w:val="24"/>
          </w:rPr>
          <m:t>−</m:t>
        </m:r>
        <m:acc>
          <m:accPr>
            <m:chr m:val="̅"/>
            <m:ctrlPr>
              <w:rPr>
                <w:rFonts w:ascii="Cambria Math" w:hAnsi="Cambria Math"/>
                <w:i/>
                <w:iCs/>
                <w:sz w:val="24"/>
              </w:rPr>
            </m:ctrlPr>
          </m:accPr>
          <m:e>
            <m:r>
              <m:rPr/>
              <w:rPr>
                <w:rFonts w:ascii="Cambria Math" w:hAnsi="Cambria Math"/>
                <w:sz w:val="24"/>
              </w:rPr>
              <m:t>T</m:t>
            </m:r>
            <m:ctrlPr>
              <w:rPr>
                <w:rFonts w:ascii="Cambria Math" w:hAnsi="Cambria Math"/>
                <w:i/>
                <w:iCs/>
                <w:sz w:val="24"/>
              </w:rPr>
            </m:ctrlPr>
          </m:e>
        </m:acc>
      </m:oMath>
      <w:r>
        <w:rPr>
          <w:rFonts w:hint="eastAsia"/>
          <w:i/>
          <w:iCs/>
          <w:sz w:val="24"/>
        </w:rPr>
        <w:t xml:space="preserve">      </w:t>
      </w:r>
      <w:r>
        <w:rPr>
          <w:sz w:val="24"/>
        </w:rPr>
        <w:tab/>
      </w:r>
      <w:r>
        <w:rPr>
          <w:sz w:val="24"/>
        </w:rPr>
        <w:tab/>
      </w:r>
      <w:r>
        <w:rPr>
          <w:sz w:val="24"/>
        </w:rPr>
        <w:tab/>
      </w:r>
      <w:r>
        <w:rPr>
          <w:sz w:val="24"/>
        </w:rPr>
        <w:tab/>
      </w:r>
      <w:r>
        <w:rPr>
          <w:rFonts w:hint="eastAsia"/>
          <w:sz w:val="24"/>
        </w:rPr>
        <w:t xml:space="preserve">  (1)</w:t>
      </w:r>
    </w:p>
    <w:p w14:paraId="359AEACB">
      <w:pPr>
        <w:tabs>
          <w:tab w:val="left" w:pos="540"/>
        </w:tabs>
        <w:autoSpaceDE w:val="0"/>
        <w:autoSpaceDN w:val="0"/>
        <w:adjustRightInd w:val="0"/>
        <w:spacing w:line="360" w:lineRule="auto"/>
        <w:ind w:firstLine="480" w:firstLineChars="200"/>
        <w:rPr>
          <w:sz w:val="24"/>
        </w:rPr>
      </w:pPr>
      <w:r>
        <w:rPr>
          <w:sz w:val="24"/>
        </w:rPr>
        <w:t>式中：</w:t>
      </w:r>
    </w:p>
    <w:p w14:paraId="601A6218">
      <w:pPr>
        <w:tabs>
          <w:tab w:val="left" w:pos="540"/>
        </w:tabs>
        <w:autoSpaceDE w:val="0"/>
        <w:autoSpaceDN w:val="0"/>
        <w:adjustRightInd w:val="0"/>
        <w:spacing w:line="360" w:lineRule="auto"/>
        <w:ind w:firstLine="420" w:firstLineChars="200"/>
        <w:rPr>
          <w:sz w:val="24"/>
        </w:rPr>
      </w:pPr>
      <w:r>
        <w:tab/>
      </w:r>
      <w:r>
        <w:tab/>
      </w:r>
      <w:r>
        <w:rPr>
          <w:position w:val="-4"/>
        </w:rPr>
        <w:object>
          <v:shape id="_x0000_i1032" o:spt="75" type="#_x0000_t75" style="height:10.5pt;width:17.25pt;" o:ole="t" filled="f" o:preferrelative="t" stroked="f" coordsize="21600,21600">
            <v:path/>
            <v:fill on="f" focussize="0,0"/>
            <v:stroke on="f" joinstyle="miter"/>
            <v:imagedata r:id="rId31" o:title=""/>
            <o:lock v:ext="edit" aspectratio="t"/>
            <w10:wrap type="none"/>
            <w10:anchorlock/>
          </v:shape>
          <o:OLEObject Type="Embed" ProgID="Equation.3" ShapeID="_x0000_i1032" DrawAspect="Content" ObjectID="_1468075732" r:id="rId32">
            <o:LockedField>false</o:LockedField>
          </o:OLEObject>
        </w:object>
      </w:r>
      <w:r>
        <w:rPr>
          <w:sz w:val="24"/>
        </w:rPr>
        <w:t>——温度示值误差，℃；</w:t>
      </w:r>
    </w:p>
    <w:p w14:paraId="4996443F">
      <w:pPr>
        <w:tabs>
          <w:tab w:val="left" w:pos="540"/>
        </w:tabs>
        <w:autoSpaceDE w:val="0"/>
        <w:autoSpaceDN w:val="0"/>
        <w:adjustRightInd w:val="0"/>
        <w:spacing w:line="360" w:lineRule="auto"/>
        <w:ind w:firstLine="480" w:firstLineChars="200"/>
        <w:rPr>
          <w:sz w:val="24"/>
        </w:rPr>
      </w:pPr>
      <w:r>
        <w:rPr>
          <w:iCs/>
          <w:sz w:val="24"/>
        </w:rPr>
        <w:tab/>
      </w:r>
      <w:r>
        <w:rPr>
          <w:iCs/>
          <w:sz w:val="24"/>
        </w:rPr>
        <w:tab/>
      </w:r>
      <m:oMath>
        <m:acc>
          <m:accPr>
            <m:chr m:val="̅"/>
            <m:ctrlPr>
              <w:rPr>
                <w:rFonts w:ascii="Cambria Math" w:hAnsi="Cambria Math"/>
                <w:i/>
                <w:iCs/>
                <w:sz w:val="24"/>
              </w:rPr>
            </m:ctrlPr>
          </m:accPr>
          <m:e>
            <m:sSub>
              <m:sSubPr>
                <m:ctrlPr>
                  <w:rPr>
                    <w:rFonts w:ascii="Cambria Math" w:hAnsi="Cambria Math"/>
                    <w:i/>
                    <w:iCs/>
                    <w:sz w:val="24"/>
                  </w:rPr>
                </m:ctrlPr>
              </m:sSubPr>
              <m:e>
                <m:r>
                  <m:rPr/>
                  <w:rPr>
                    <w:rFonts w:ascii="Cambria Math" w:hAnsi="Cambria Math"/>
                    <w:sz w:val="24"/>
                  </w:rPr>
                  <m:t>T</m:t>
                </m:r>
                <m:ctrlPr>
                  <w:rPr>
                    <w:rFonts w:ascii="Cambria Math" w:hAnsi="Cambria Math"/>
                    <w:i/>
                    <w:iCs/>
                    <w:sz w:val="24"/>
                  </w:rPr>
                </m:ctrlPr>
              </m:e>
              <m:sub>
                <m:r>
                  <m:rPr/>
                  <w:rPr>
                    <w:rFonts w:hint="eastAsia" w:ascii="Cambria Math" w:hAnsi="Cambria Math"/>
                    <w:sz w:val="24"/>
                  </w:rPr>
                  <m:t>s</m:t>
                </m:r>
                <m:ctrlPr>
                  <w:rPr>
                    <w:rFonts w:ascii="Cambria Math" w:hAnsi="Cambria Math"/>
                    <w:i/>
                    <w:iCs/>
                    <w:sz w:val="24"/>
                  </w:rPr>
                </m:ctrlPr>
              </m:sub>
            </m:sSub>
            <m:ctrlPr>
              <w:rPr>
                <w:rFonts w:ascii="Cambria Math" w:hAnsi="Cambria Math"/>
                <w:i/>
                <w:iCs/>
                <w:sz w:val="24"/>
              </w:rPr>
            </m:ctrlPr>
          </m:e>
        </m:acc>
      </m:oMath>
      <w:r>
        <w:rPr>
          <w:sz w:val="24"/>
        </w:rPr>
        <w:t>——</w:t>
      </w:r>
      <w:r>
        <w:rPr>
          <w:rFonts w:hint="eastAsia"/>
          <w:sz w:val="24"/>
        </w:rPr>
        <w:t>仪器自带测温系统</w:t>
      </w:r>
      <w:r>
        <w:rPr>
          <w:sz w:val="24"/>
        </w:rPr>
        <w:t>采集的</w:t>
      </w:r>
      <w:r>
        <w:rPr>
          <w:rFonts w:hint="eastAsia"/>
          <w:sz w:val="24"/>
        </w:rPr>
        <w:t>16</w:t>
      </w:r>
      <w:r>
        <w:rPr>
          <w:sz w:val="24"/>
        </w:rPr>
        <w:t>组温度平均值，℃；</w:t>
      </w:r>
    </w:p>
    <w:p w14:paraId="1366AB23">
      <w:pPr>
        <w:tabs>
          <w:tab w:val="left" w:pos="540"/>
        </w:tabs>
        <w:autoSpaceDE w:val="0"/>
        <w:autoSpaceDN w:val="0"/>
        <w:adjustRightInd w:val="0"/>
        <w:spacing w:line="360" w:lineRule="auto"/>
        <w:ind w:firstLine="480" w:firstLineChars="200"/>
        <w:rPr>
          <w:rStyle w:val="27"/>
          <w:b w:val="0"/>
          <w:bCs w:val="0"/>
          <w:sz w:val="24"/>
        </w:rPr>
      </w:pPr>
      <w:r>
        <w:rPr>
          <w:iCs/>
          <w:sz w:val="24"/>
        </w:rPr>
        <w:tab/>
      </w:r>
      <w:r>
        <w:rPr>
          <w:iCs/>
          <w:sz w:val="24"/>
        </w:rPr>
        <w:tab/>
      </w:r>
      <m:oMath>
        <m:acc>
          <m:accPr>
            <m:chr m:val="̅"/>
            <m:ctrlPr>
              <w:rPr>
                <w:rFonts w:ascii="Cambria Math" w:hAnsi="Cambria Math"/>
                <w:i/>
                <w:iCs/>
                <w:sz w:val="24"/>
              </w:rPr>
            </m:ctrlPr>
          </m:accPr>
          <m:e>
            <m:r>
              <m:rPr/>
              <w:rPr>
                <w:rFonts w:ascii="Cambria Math" w:hAnsi="Cambria Math"/>
                <w:sz w:val="24"/>
              </w:rPr>
              <m:t>T</m:t>
            </m:r>
            <m:ctrlPr>
              <w:rPr>
                <w:rFonts w:ascii="Cambria Math" w:hAnsi="Cambria Math"/>
                <w:i/>
                <w:iCs/>
                <w:sz w:val="24"/>
              </w:rPr>
            </m:ctrlPr>
          </m:e>
        </m:acc>
      </m:oMath>
      <w:r>
        <w:rPr>
          <w:sz w:val="24"/>
        </w:rPr>
        <w:t>——标准器采集的</w:t>
      </w:r>
      <w:r>
        <w:rPr>
          <w:rFonts w:hint="eastAsia"/>
          <w:sz w:val="24"/>
        </w:rPr>
        <w:t>16</w:t>
      </w:r>
      <w:r>
        <w:rPr>
          <w:sz w:val="24"/>
        </w:rPr>
        <w:t>组温度平均值，℃。</w:t>
      </w:r>
    </w:p>
    <w:p w14:paraId="338787D1">
      <w:pPr>
        <w:spacing w:line="336" w:lineRule="auto"/>
        <w:rPr>
          <w:sz w:val="24"/>
        </w:rPr>
      </w:pPr>
      <w:r>
        <w:rPr>
          <w:sz w:val="24"/>
        </w:rPr>
        <w:t>C.5 方差和灵敏系数</w:t>
      </w:r>
    </w:p>
    <w:p w14:paraId="44503824">
      <w:pPr>
        <w:ind w:firstLine="420"/>
        <w:rPr>
          <w:sz w:val="24"/>
        </w:rPr>
      </w:pPr>
      <w:r>
        <w:t>根</w:t>
      </w:r>
      <w:r>
        <w:rPr>
          <w:sz w:val="24"/>
        </w:rPr>
        <w:t xml:space="preserve">据：    </w:t>
      </w:r>
      <w:r>
        <w:rPr>
          <w:sz w:val="24"/>
        </w:rPr>
        <w:object>
          <v:shape id="_x0000_i1033" o:spt="75" type="#_x0000_t75" style="height:39.75pt;width:105pt;" o:ole="t" fillcolor="#ACA899" filled="f" o:preferrelative="t" stroked="f" coordsize="21600,21600">
            <v:path/>
            <v:fill on="f" focussize="0,0"/>
            <v:stroke on="f" joinstyle="miter"/>
            <v:imagedata r:id="rId34" o:title=""/>
            <o:lock v:ext="edit" aspectratio="t"/>
            <w10:wrap type="none"/>
            <w10:anchorlock/>
          </v:shape>
          <o:OLEObject Type="Embed" ProgID="Equation.3" ShapeID="_x0000_i1033" DrawAspect="Content" ObjectID="_1468075733" r:id="rId33">
            <o:LockedField>false</o:LockedField>
          </o:OLEObject>
        </w:object>
      </w:r>
      <w:r>
        <w:rPr>
          <w:sz w:val="24"/>
        </w:rPr>
        <w:t xml:space="preserve">                              </w:t>
      </w:r>
    </w:p>
    <w:p w14:paraId="783E9762">
      <w:pPr>
        <w:rPr>
          <w:sz w:val="24"/>
        </w:rPr>
      </w:pPr>
      <w:r>
        <w:rPr>
          <w:sz w:val="24"/>
        </w:rPr>
        <w:t xml:space="preserve">  </w:t>
      </w:r>
    </w:p>
    <w:p w14:paraId="064C8901">
      <w:pPr>
        <w:ind w:firstLine="420"/>
        <w:rPr>
          <w:sz w:val="24"/>
        </w:rPr>
      </w:pPr>
      <w:r>
        <w:rPr>
          <w:sz w:val="24"/>
        </w:rPr>
        <w:t>由式（1）得：</w:t>
      </w:r>
    </w:p>
    <w:p w14:paraId="21C3CEC6">
      <w:pPr>
        <w:rPr>
          <w:sz w:val="24"/>
        </w:rPr>
      </w:pPr>
      <w:r>
        <w:rPr>
          <w:sz w:val="24"/>
        </w:rPr>
        <w:t xml:space="preserve">  </w:t>
      </w:r>
      <w:r>
        <w:rPr>
          <w:sz w:val="24"/>
        </w:rPr>
        <w:object>
          <v:shape id="_x0000_i1034" o:spt="75" type="#_x0000_t75" style="height:20.25pt;width:99.75pt;" o:ole="t" fillcolor="#ACA899" filled="f" o:preferrelative="t" stroked="f" coordsize="21600,21600">
            <v:path/>
            <v:fill on="f" focussize="0,0"/>
            <v:stroke on="f" joinstyle="miter"/>
            <v:imagedata r:id="rId36" o:title=""/>
            <o:lock v:ext="edit" aspectratio="t"/>
            <w10:wrap type="none"/>
            <w10:anchorlock/>
          </v:shape>
          <o:OLEObject Type="Embed" ProgID="Equation.3" ShapeID="_x0000_i1034" DrawAspect="Content" ObjectID="_1468075734" r:id="rId35">
            <o:LockedField>false</o:LockedField>
          </o:OLEObject>
        </w:object>
      </w:r>
      <w:r>
        <w:rPr>
          <w:sz w:val="24"/>
        </w:rPr>
        <w:t xml:space="preserve">                  （2）</w:t>
      </w:r>
    </w:p>
    <w:p w14:paraId="21C335CC">
      <w:pPr>
        <w:spacing w:line="400" w:lineRule="exact"/>
        <w:rPr>
          <w:sz w:val="24"/>
        </w:rPr>
      </w:pPr>
      <w:r>
        <w:rPr>
          <w:sz w:val="24"/>
        </w:rPr>
        <w:t>式中：</w:t>
      </w:r>
    </w:p>
    <w:p w14:paraId="2D278AB4">
      <w:pPr>
        <w:spacing w:line="400" w:lineRule="exact"/>
        <w:rPr>
          <w:sz w:val="24"/>
        </w:rPr>
      </w:pPr>
      <w:r>
        <w:rPr>
          <w:sz w:val="24"/>
        </w:rPr>
        <w:object>
          <v:shape id="_x0000_i1035" o:spt="75" type="#_x0000_t75" style="height:17.25pt;width:12pt;" o:ole="t" fillcolor="#ACA899" filled="f" o:preferrelative="t" stroked="f" coordsize="21600,21600">
            <v:path/>
            <v:fill on="f" focussize="0,0"/>
            <v:stroke on="f" joinstyle="miter"/>
            <v:imagedata r:id="rId38" o:title=""/>
            <o:lock v:ext="edit" aspectratio="t"/>
            <w10:wrap type="none"/>
            <w10:anchorlock/>
          </v:shape>
          <o:OLEObject Type="Embed" ProgID="Equation.3" ShapeID="_x0000_i1035" DrawAspect="Content" ObjectID="_1468075735" r:id="rId37">
            <o:LockedField>false</o:LockedField>
          </o:OLEObject>
        </w:object>
      </w:r>
      <w:r>
        <w:rPr>
          <w:sz w:val="24"/>
        </w:rPr>
        <w:t>、</w:t>
      </w:r>
      <w:r>
        <w:rPr>
          <w:sz w:val="24"/>
        </w:rPr>
        <w:object>
          <v:shape id="_x0000_i1036" o:spt="75" type="#_x0000_t75" style="height:17.25pt;width:14.25pt;" o:ole="t" fillcolor="#ACA899" filled="f" o:preferrelative="t" stroked="f" coordsize="21600,21600">
            <v:path/>
            <v:fill on="f" focussize="0,0"/>
            <v:stroke on="f" joinstyle="miter"/>
            <v:imagedata r:id="rId40" o:title=""/>
            <o:lock v:ext="edit" aspectratio="t"/>
            <w10:wrap type="none"/>
            <w10:anchorlock/>
          </v:shape>
          <o:OLEObject Type="Embed" ProgID="Equation.3" ShapeID="_x0000_i1036" DrawAspect="Content" ObjectID="_1468075736" r:id="rId39">
            <o:LockedField>false</o:LockedField>
          </o:OLEObject>
        </w:object>
      </w:r>
      <w:r>
        <w:rPr>
          <w:sz w:val="24"/>
        </w:rPr>
        <w:t>分别为T</w:t>
      </w:r>
      <w:r>
        <w:rPr>
          <w:sz w:val="24"/>
          <w:vertAlign w:val="subscript"/>
        </w:rPr>
        <w:t>s</w:t>
      </w:r>
      <w:r>
        <w:rPr>
          <w:sz w:val="24"/>
        </w:rPr>
        <w:t>和</w:t>
      </w:r>
      <w:r>
        <w:rPr>
          <w:sz w:val="24"/>
        </w:rPr>
        <w:object>
          <v:shape id="_x0000_i1037" o:spt="75" type="#_x0000_t75" style="height:12pt;width:10.5pt;" o:ole="t" filled="f" o:preferrelative="t" stroked="f" coordsize="21600,21600">
            <v:path/>
            <v:fill on="f" focussize="0,0"/>
            <v:stroke on="f" joinstyle="miter"/>
            <v:imagedata r:id="rId42" o:title=""/>
            <o:lock v:ext="edit" aspectratio="t"/>
            <w10:wrap type="none"/>
            <w10:anchorlock/>
          </v:shape>
          <o:OLEObject Type="Embed" ProgID="Equation.3" ShapeID="_x0000_i1037" DrawAspect="Content" ObjectID="_1468075737" r:id="rId41">
            <o:LockedField>false</o:LockedField>
          </o:OLEObject>
        </w:object>
      </w:r>
      <w:r>
        <w:rPr>
          <w:sz w:val="24"/>
        </w:rPr>
        <w:t>的不确定度，c</w:t>
      </w:r>
      <w:r>
        <w:rPr>
          <w:sz w:val="24"/>
          <w:vertAlign w:val="subscript"/>
        </w:rPr>
        <w:t>1</w:t>
      </w:r>
      <w:r>
        <w:rPr>
          <w:sz w:val="24"/>
        </w:rPr>
        <w:t>=1，c</w:t>
      </w:r>
      <w:r>
        <w:rPr>
          <w:sz w:val="24"/>
          <w:vertAlign w:val="subscript"/>
        </w:rPr>
        <w:t>2</w:t>
      </w:r>
      <w:r>
        <w:rPr>
          <w:sz w:val="24"/>
        </w:rPr>
        <w:t>=-1。</w:t>
      </w:r>
    </w:p>
    <w:p w14:paraId="18128D67">
      <w:pPr>
        <w:spacing w:beforeLines="50" w:line="360" w:lineRule="auto"/>
        <w:rPr>
          <w:sz w:val="24"/>
        </w:rPr>
      </w:pPr>
      <w:r>
        <w:rPr>
          <w:sz w:val="24"/>
        </w:rPr>
        <w:t>C.6 不确定度来源分析</w:t>
      </w:r>
    </w:p>
    <w:p w14:paraId="0C27245A">
      <w:pPr>
        <w:spacing w:line="336" w:lineRule="auto"/>
        <w:ind w:firstLine="480" w:firstLineChars="200"/>
        <w:rPr>
          <w:sz w:val="24"/>
        </w:rPr>
      </w:pPr>
      <w:r>
        <w:rPr>
          <w:sz w:val="24"/>
        </w:rPr>
        <w:t>被测对象测量重复性引入的标准不确定度分量，标准器分辨力引入的标准不确定度分量，标准器修正值引入的标准不确定度分量，标准器稳定性引入的标准不确定度分量。</w:t>
      </w:r>
    </w:p>
    <w:p w14:paraId="6A55DB52">
      <w:pPr>
        <w:spacing w:line="336" w:lineRule="auto"/>
        <w:rPr>
          <w:sz w:val="24"/>
        </w:rPr>
      </w:pPr>
      <w:r>
        <w:rPr>
          <w:sz w:val="24"/>
        </w:rPr>
        <w:t>C.7 标准不确定度评定</w:t>
      </w:r>
    </w:p>
    <w:p w14:paraId="674534E6">
      <w:pPr>
        <w:spacing w:line="336" w:lineRule="auto"/>
        <w:rPr>
          <w:sz w:val="24"/>
        </w:rPr>
      </w:pPr>
      <w:r>
        <w:rPr>
          <w:sz w:val="24"/>
        </w:rPr>
        <w:t>C.7.1 测量重复性引入的不确定度分量</w:t>
      </w:r>
      <w:r>
        <w:rPr>
          <w:position w:val="-12"/>
          <w:sz w:val="24"/>
        </w:rPr>
        <w:object>
          <v:shape id="_x0000_i1038" o:spt="75" type="#_x0000_t75" style="height:18pt;width:12pt;" o:ole="t" filled="f" o:preferrelative="t" stroked="f" coordsize="21600,21600">
            <v:path/>
            <v:fill on="f" focussize="0,0"/>
            <v:stroke on="f" joinstyle="miter"/>
            <v:imagedata r:id="rId44" o:title=""/>
            <o:lock v:ext="edit" aspectratio="t"/>
            <w10:wrap type="none"/>
            <w10:anchorlock/>
          </v:shape>
          <o:OLEObject Type="Embed" ProgID="Equation.DSMT4" ShapeID="_x0000_i1038" DrawAspect="Content" ObjectID="_1468075738" r:id="rId43">
            <o:LockedField>false</o:LockedField>
          </o:OLEObject>
        </w:object>
      </w:r>
    </w:p>
    <w:p w14:paraId="0A6068F6">
      <w:pPr>
        <w:spacing w:line="336" w:lineRule="auto"/>
        <w:ind w:firstLine="480" w:firstLineChars="200"/>
        <w:rPr>
          <w:sz w:val="24"/>
        </w:rPr>
      </w:pPr>
      <w:r>
        <w:rPr>
          <w:sz w:val="24"/>
        </w:rPr>
        <w:t>使用</w:t>
      </w:r>
      <w:r>
        <w:rPr>
          <w:rFonts w:hint="eastAsia"/>
          <w:sz w:val="24"/>
        </w:rPr>
        <w:t>多通道</w:t>
      </w:r>
      <w:r>
        <w:rPr>
          <w:sz w:val="24"/>
        </w:rPr>
        <w:t>标准器测得温度示值，得到如下测量列（℃）：</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4"/>
        <w:gridCol w:w="1723"/>
        <w:gridCol w:w="1724"/>
        <w:gridCol w:w="1724"/>
        <w:gridCol w:w="1725"/>
      </w:tblGrid>
      <w:tr w14:paraId="4EE2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4" w:type="dxa"/>
            <w:vAlign w:val="center"/>
          </w:tcPr>
          <w:p w14:paraId="2AB0732F">
            <w:pPr>
              <w:spacing w:line="336" w:lineRule="auto"/>
              <w:jc w:val="center"/>
              <w:rPr>
                <w:sz w:val="24"/>
              </w:rPr>
            </w:pPr>
            <w:r>
              <w:rPr>
                <w:rFonts w:hint="eastAsia"/>
                <w:sz w:val="24"/>
              </w:rPr>
              <w:t>1</w:t>
            </w:r>
            <w:r>
              <w:rPr>
                <w:sz w:val="24"/>
              </w:rPr>
              <w:t>5</w:t>
            </w:r>
            <w:r>
              <w:rPr>
                <w:rFonts w:hint="eastAsia"/>
                <w:sz w:val="24"/>
              </w:rPr>
              <w:t>0</w:t>
            </w:r>
            <w:r>
              <w:rPr>
                <w:sz w:val="24"/>
              </w:rPr>
              <w:t>.2</w:t>
            </w:r>
            <w:r>
              <w:rPr>
                <w:rFonts w:hint="eastAsia"/>
                <w:sz w:val="24"/>
              </w:rPr>
              <w:t>33</w:t>
            </w:r>
          </w:p>
        </w:tc>
        <w:tc>
          <w:tcPr>
            <w:tcW w:w="1723" w:type="dxa"/>
          </w:tcPr>
          <w:p w14:paraId="7E9EC85E">
            <w:pPr>
              <w:spacing w:line="336" w:lineRule="auto"/>
              <w:jc w:val="center"/>
              <w:rPr>
                <w:sz w:val="24"/>
              </w:rPr>
            </w:pPr>
            <w:r>
              <w:rPr>
                <w:rFonts w:hint="eastAsia"/>
                <w:sz w:val="24"/>
              </w:rPr>
              <w:t>1</w:t>
            </w:r>
            <w:r>
              <w:rPr>
                <w:sz w:val="24"/>
              </w:rPr>
              <w:t>5</w:t>
            </w:r>
            <w:r>
              <w:rPr>
                <w:rFonts w:hint="eastAsia"/>
                <w:sz w:val="24"/>
              </w:rPr>
              <w:t>0</w:t>
            </w:r>
            <w:r>
              <w:rPr>
                <w:sz w:val="24"/>
              </w:rPr>
              <w:t>.2</w:t>
            </w:r>
            <w:r>
              <w:rPr>
                <w:rFonts w:hint="eastAsia"/>
                <w:sz w:val="24"/>
              </w:rPr>
              <w:t>43</w:t>
            </w:r>
          </w:p>
        </w:tc>
        <w:tc>
          <w:tcPr>
            <w:tcW w:w="1724" w:type="dxa"/>
          </w:tcPr>
          <w:p w14:paraId="03843B24">
            <w:pPr>
              <w:spacing w:line="336" w:lineRule="auto"/>
              <w:jc w:val="center"/>
              <w:rPr>
                <w:sz w:val="24"/>
              </w:rPr>
            </w:pPr>
            <w:r>
              <w:rPr>
                <w:rFonts w:hint="eastAsia"/>
                <w:sz w:val="24"/>
              </w:rPr>
              <w:t>1</w:t>
            </w:r>
            <w:r>
              <w:rPr>
                <w:sz w:val="24"/>
              </w:rPr>
              <w:t>5</w:t>
            </w:r>
            <w:r>
              <w:rPr>
                <w:rFonts w:hint="eastAsia"/>
                <w:sz w:val="24"/>
              </w:rPr>
              <w:t>0</w:t>
            </w:r>
            <w:r>
              <w:rPr>
                <w:sz w:val="24"/>
              </w:rPr>
              <w:t>.2</w:t>
            </w:r>
            <w:r>
              <w:rPr>
                <w:rFonts w:hint="eastAsia"/>
                <w:sz w:val="24"/>
              </w:rPr>
              <w:t>39</w:t>
            </w:r>
          </w:p>
        </w:tc>
        <w:tc>
          <w:tcPr>
            <w:tcW w:w="1724" w:type="dxa"/>
          </w:tcPr>
          <w:p w14:paraId="5F61EF22">
            <w:pPr>
              <w:spacing w:line="336" w:lineRule="auto"/>
              <w:jc w:val="center"/>
              <w:rPr>
                <w:sz w:val="24"/>
              </w:rPr>
            </w:pPr>
            <w:r>
              <w:rPr>
                <w:rFonts w:hint="eastAsia"/>
                <w:sz w:val="24"/>
              </w:rPr>
              <w:t>1</w:t>
            </w:r>
            <w:r>
              <w:rPr>
                <w:sz w:val="24"/>
              </w:rPr>
              <w:t>5</w:t>
            </w:r>
            <w:r>
              <w:rPr>
                <w:rFonts w:hint="eastAsia"/>
                <w:sz w:val="24"/>
              </w:rPr>
              <w:t>0</w:t>
            </w:r>
            <w:r>
              <w:rPr>
                <w:sz w:val="24"/>
              </w:rPr>
              <w:t>.2</w:t>
            </w:r>
            <w:r>
              <w:rPr>
                <w:rFonts w:hint="eastAsia"/>
                <w:sz w:val="24"/>
              </w:rPr>
              <w:t>13</w:t>
            </w:r>
          </w:p>
        </w:tc>
        <w:tc>
          <w:tcPr>
            <w:tcW w:w="1725" w:type="dxa"/>
          </w:tcPr>
          <w:p w14:paraId="00F539DE">
            <w:pPr>
              <w:spacing w:line="336" w:lineRule="auto"/>
              <w:jc w:val="center"/>
              <w:rPr>
                <w:sz w:val="24"/>
              </w:rPr>
            </w:pPr>
            <w:r>
              <w:rPr>
                <w:rFonts w:hint="eastAsia"/>
                <w:sz w:val="24"/>
              </w:rPr>
              <w:t>1</w:t>
            </w:r>
            <w:r>
              <w:rPr>
                <w:sz w:val="24"/>
              </w:rPr>
              <w:t>5</w:t>
            </w:r>
            <w:r>
              <w:rPr>
                <w:rFonts w:hint="eastAsia"/>
                <w:sz w:val="24"/>
              </w:rPr>
              <w:t>0</w:t>
            </w:r>
            <w:r>
              <w:rPr>
                <w:sz w:val="24"/>
              </w:rPr>
              <w:t>.2</w:t>
            </w:r>
            <w:r>
              <w:rPr>
                <w:rFonts w:hint="eastAsia"/>
                <w:sz w:val="24"/>
              </w:rPr>
              <w:t>03</w:t>
            </w:r>
          </w:p>
        </w:tc>
      </w:tr>
      <w:tr w14:paraId="27CB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4" w:type="dxa"/>
            <w:vAlign w:val="center"/>
          </w:tcPr>
          <w:p w14:paraId="040F5F9A">
            <w:pPr>
              <w:spacing w:line="336" w:lineRule="auto"/>
              <w:jc w:val="center"/>
              <w:rPr>
                <w:sz w:val="24"/>
              </w:rPr>
            </w:pPr>
            <w:r>
              <w:rPr>
                <w:rFonts w:hint="eastAsia"/>
                <w:sz w:val="24"/>
              </w:rPr>
              <w:t>1</w:t>
            </w:r>
            <w:r>
              <w:rPr>
                <w:sz w:val="24"/>
              </w:rPr>
              <w:t>5</w:t>
            </w:r>
            <w:r>
              <w:rPr>
                <w:rFonts w:hint="eastAsia"/>
                <w:sz w:val="24"/>
              </w:rPr>
              <w:t>0</w:t>
            </w:r>
            <w:r>
              <w:rPr>
                <w:sz w:val="24"/>
              </w:rPr>
              <w:t>.2</w:t>
            </w:r>
            <w:r>
              <w:rPr>
                <w:rFonts w:hint="eastAsia"/>
                <w:sz w:val="24"/>
              </w:rPr>
              <w:t>19</w:t>
            </w:r>
          </w:p>
        </w:tc>
        <w:tc>
          <w:tcPr>
            <w:tcW w:w="1723" w:type="dxa"/>
          </w:tcPr>
          <w:p w14:paraId="3143A9F9">
            <w:pPr>
              <w:spacing w:line="336" w:lineRule="auto"/>
              <w:jc w:val="center"/>
              <w:rPr>
                <w:sz w:val="24"/>
              </w:rPr>
            </w:pPr>
            <w:r>
              <w:rPr>
                <w:rFonts w:hint="eastAsia"/>
                <w:sz w:val="24"/>
              </w:rPr>
              <w:t>1</w:t>
            </w:r>
            <w:r>
              <w:rPr>
                <w:sz w:val="24"/>
              </w:rPr>
              <w:t>5</w:t>
            </w:r>
            <w:r>
              <w:rPr>
                <w:rFonts w:hint="eastAsia"/>
                <w:sz w:val="24"/>
              </w:rPr>
              <w:t>0</w:t>
            </w:r>
            <w:r>
              <w:rPr>
                <w:sz w:val="24"/>
              </w:rPr>
              <w:t>.2</w:t>
            </w:r>
            <w:r>
              <w:rPr>
                <w:rFonts w:hint="eastAsia"/>
                <w:sz w:val="24"/>
              </w:rPr>
              <w:t>53</w:t>
            </w:r>
          </w:p>
        </w:tc>
        <w:tc>
          <w:tcPr>
            <w:tcW w:w="1724" w:type="dxa"/>
          </w:tcPr>
          <w:p w14:paraId="2C8482A4">
            <w:pPr>
              <w:spacing w:line="336" w:lineRule="auto"/>
              <w:jc w:val="center"/>
              <w:rPr>
                <w:sz w:val="24"/>
              </w:rPr>
            </w:pPr>
            <w:r>
              <w:rPr>
                <w:rFonts w:hint="eastAsia"/>
                <w:sz w:val="24"/>
              </w:rPr>
              <w:t>1</w:t>
            </w:r>
            <w:r>
              <w:rPr>
                <w:sz w:val="24"/>
              </w:rPr>
              <w:t>5</w:t>
            </w:r>
            <w:r>
              <w:rPr>
                <w:rFonts w:hint="eastAsia"/>
                <w:sz w:val="24"/>
              </w:rPr>
              <w:t>0</w:t>
            </w:r>
            <w:r>
              <w:rPr>
                <w:sz w:val="24"/>
              </w:rPr>
              <w:t>.2</w:t>
            </w:r>
            <w:r>
              <w:rPr>
                <w:rFonts w:hint="eastAsia"/>
                <w:sz w:val="24"/>
              </w:rPr>
              <w:t>44</w:t>
            </w:r>
          </w:p>
        </w:tc>
        <w:tc>
          <w:tcPr>
            <w:tcW w:w="1724" w:type="dxa"/>
          </w:tcPr>
          <w:p w14:paraId="6E3AEFE7">
            <w:pPr>
              <w:spacing w:line="336" w:lineRule="auto"/>
              <w:jc w:val="center"/>
              <w:rPr>
                <w:sz w:val="24"/>
              </w:rPr>
            </w:pPr>
            <w:r>
              <w:rPr>
                <w:rFonts w:hint="eastAsia"/>
                <w:sz w:val="24"/>
              </w:rPr>
              <w:t>1</w:t>
            </w:r>
            <w:r>
              <w:rPr>
                <w:sz w:val="24"/>
              </w:rPr>
              <w:t>5</w:t>
            </w:r>
            <w:r>
              <w:rPr>
                <w:rFonts w:hint="eastAsia"/>
                <w:sz w:val="24"/>
              </w:rPr>
              <w:t>0</w:t>
            </w:r>
            <w:r>
              <w:rPr>
                <w:sz w:val="24"/>
              </w:rPr>
              <w:t>.</w:t>
            </w:r>
            <w:r>
              <w:rPr>
                <w:rFonts w:hint="eastAsia"/>
                <w:sz w:val="24"/>
              </w:rPr>
              <w:t>170</w:t>
            </w:r>
          </w:p>
        </w:tc>
        <w:tc>
          <w:tcPr>
            <w:tcW w:w="1725" w:type="dxa"/>
          </w:tcPr>
          <w:p w14:paraId="38FDB8A3">
            <w:pPr>
              <w:spacing w:line="336" w:lineRule="auto"/>
              <w:jc w:val="center"/>
              <w:rPr>
                <w:sz w:val="24"/>
              </w:rPr>
            </w:pPr>
            <w:r>
              <w:rPr>
                <w:rFonts w:hint="eastAsia"/>
                <w:sz w:val="24"/>
              </w:rPr>
              <w:t>1</w:t>
            </w:r>
            <w:r>
              <w:rPr>
                <w:sz w:val="24"/>
              </w:rPr>
              <w:t>5</w:t>
            </w:r>
            <w:r>
              <w:rPr>
                <w:rFonts w:hint="eastAsia"/>
                <w:sz w:val="24"/>
              </w:rPr>
              <w:t>0</w:t>
            </w:r>
            <w:r>
              <w:rPr>
                <w:sz w:val="24"/>
              </w:rPr>
              <w:t>.2</w:t>
            </w:r>
            <w:r>
              <w:rPr>
                <w:rFonts w:hint="eastAsia"/>
                <w:sz w:val="24"/>
              </w:rPr>
              <w:t>73</w:t>
            </w:r>
          </w:p>
        </w:tc>
      </w:tr>
    </w:tbl>
    <w:p w14:paraId="5FE7500D">
      <w:pPr>
        <w:spacing w:beforeLines="50" w:line="360" w:lineRule="auto"/>
        <w:ind w:firstLine="471"/>
      </w:pPr>
      <w:r>
        <w:t>其算术平均值</w:t>
      </w:r>
      <w:r>
        <w:rPr>
          <w:rFonts w:hint="eastAsia"/>
        </w:rPr>
        <w:t xml:space="preserve">  </w:t>
      </w:r>
      <m:oMath>
        <m:acc>
          <m:accPr>
            <m:chr m:val="̅"/>
            <m:ctrlPr>
              <w:rPr>
                <w:rFonts w:ascii="Cambria Math" w:hAnsi="Cambria Math" w:eastAsia="Cambria Math"/>
                <w:i/>
              </w:rPr>
            </m:ctrlPr>
          </m:accPr>
          <m:e>
            <m:r>
              <m:rPr/>
              <w:rPr>
                <w:rFonts w:ascii="Cambria Math" w:hAnsi="Cambria Math" w:eastAsia="Cambria Math"/>
              </w:rPr>
              <m:t>T</m:t>
            </m:r>
            <m:ctrlPr>
              <w:rPr>
                <w:rFonts w:ascii="Cambria Math" w:hAnsi="Cambria Math" w:eastAsia="Cambria Math"/>
                <w:i/>
              </w:rPr>
            </m:ctrlPr>
          </m:e>
        </m:acc>
        <m:r>
          <m:rPr>
            <m:sty m:val="p"/>
          </m:rPr>
          <w:rPr>
            <w:rFonts w:ascii="Cambria Math" w:hAnsi="Cambria Math" w:eastAsia="Cambria Math"/>
          </w:rPr>
          <m:t>=</m:t>
        </m:r>
        <m:f>
          <m:fPr>
            <m:ctrlPr>
              <w:rPr>
                <w:rFonts w:ascii="Cambria Math" w:hAnsi="Cambria Math" w:eastAsia="Cambria Math"/>
              </w:rPr>
            </m:ctrlPr>
          </m:fPr>
          <m:num>
            <m:r>
              <m:rPr>
                <m:sty m:val="p"/>
              </m:rPr>
              <w:rPr>
                <w:rFonts w:ascii="Cambria Math" w:hAnsi="Cambria Math" w:eastAsia="Cambria Math"/>
              </w:rPr>
              <m:t>1</m:t>
            </m:r>
            <m:ctrlPr>
              <w:rPr>
                <w:rFonts w:ascii="Cambria Math" w:hAnsi="Cambria Math" w:eastAsia="Cambria Math"/>
              </w:rPr>
            </m:ctrlPr>
          </m:num>
          <m:den>
            <m:r>
              <m:rPr/>
              <w:rPr>
                <w:rFonts w:ascii="Cambria Math" w:hAnsi="Cambria Math" w:eastAsiaTheme="minorEastAsia"/>
              </w:rPr>
              <m:t>n</m:t>
            </m:r>
            <m:ctrlPr>
              <w:rPr>
                <w:rFonts w:ascii="Cambria Math" w:hAnsi="Cambria Math" w:eastAsia="Cambria Math"/>
              </w:rPr>
            </m:ctrlPr>
          </m:den>
        </m:f>
        <m:nary>
          <m:naryPr>
            <m:chr m:val="∑"/>
            <m:limLoc m:val="undOvr"/>
            <m:ctrlPr>
              <w:rPr>
                <w:rFonts w:ascii="Cambria Math" w:hAnsi="Cambria Math" w:eastAsia="Cambria Math"/>
                <w:i/>
              </w:rPr>
            </m:ctrlPr>
          </m:naryPr>
          <m:sub>
            <m:r>
              <m:rPr/>
              <w:rPr>
                <w:rFonts w:ascii="Cambria Math" w:hAnsi="Cambria Math" w:eastAsia="Cambria Math"/>
              </w:rPr>
              <m:t>i</m:t>
            </m:r>
            <m:r>
              <m:rPr/>
              <w:rPr>
                <w:rFonts w:ascii="Cambria Math" w:hAnsi="Cambria Math" w:eastAsiaTheme="minorEastAsia"/>
              </w:rPr>
              <m:t>=1</m:t>
            </m:r>
            <m:ctrlPr>
              <w:rPr>
                <w:rFonts w:ascii="Cambria Math" w:hAnsi="Cambria Math" w:eastAsia="Cambria Math"/>
                <w:i/>
              </w:rPr>
            </m:ctrlPr>
          </m:sub>
          <m:sup>
            <m:r>
              <m:rPr/>
              <w:rPr>
                <w:rFonts w:ascii="Cambria Math" w:hAnsi="Cambria Math" w:eastAsia="Cambria Math"/>
              </w:rPr>
              <m:t>n</m:t>
            </m:r>
            <m:ctrlPr>
              <w:rPr>
                <w:rFonts w:ascii="Cambria Math" w:hAnsi="Cambria Math" w:eastAsia="Cambria Math"/>
                <w:i/>
              </w:rPr>
            </m:ctrlPr>
          </m:sup>
          <m:e>
            <m:sSub>
              <m:sSubPr>
                <m:ctrlPr>
                  <w:rPr>
                    <w:rFonts w:ascii="Cambria Math" w:hAnsi="Cambria Math" w:eastAsia="Cambria Math"/>
                    <w:i/>
                  </w:rPr>
                </m:ctrlPr>
              </m:sSubPr>
              <m:e>
                <m:r>
                  <m:rPr/>
                  <w:rPr>
                    <w:rFonts w:ascii="Cambria Math" w:hAnsi="Cambria Math" w:eastAsia="Cambria Math"/>
                  </w:rPr>
                  <m:t>T</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ctrlPr>
              <w:rPr>
                <w:rFonts w:ascii="Cambria Math" w:hAnsi="Cambria Math" w:eastAsia="Cambria Math"/>
                <w:i/>
              </w:rPr>
            </m:ctrlPr>
          </m:e>
        </m:nary>
      </m:oMath>
      <w:r>
        <w:rPr>
          <w:rFonts w:hint="eastAsia"/>
        </w:rPr>
        <w:t xml:space="preserve"> </w:t>
      </w:r>
      <w:r>
        <w:t>=150.229℃</w:t>
      </w:r>
    </w:p>
    <w:p w14:paraId="57D18D0C">
      <w:pPr>
        <w:spacing w:line="360" w:lineRule="auto"/>
        <w:ind w:firstLine="420" w:firstLineChars="200"/>
      </w:pPr>
      <w:r>
        <w:t xml:space="preserve">单次实验标准差为： </w:t>
      </w:r>
    </w:p>
    <w:p w14:paraId="4D19B5DC">
      <w:pPr>
        <w:spacing w:line="360" w:lineRule="auto"/>
        <w:ind w:firstLine="630"/>
      </w:pPr>
      <w:r>
        <w:rPr>
          <w:position w:val="-26"/>
        </w:rPr>
        <w:object>
          <v:shape id="_x0000_i1039" o:spt="75" type="#_x0000_t75" style="height:51.75pt;width:87pt;" o:ole="t" filled="f" o:preferrelative="t" stroked="f" coordsize="21600,21600">
            <v:path/>
            <v:fill on="f" focussize="0,0"/>
            <v:stroke on="f" joinstyle="miter"/>
            <v:imagedata r:id="rId46" o:title=""/>
            <o:lock v:ext="edit" aspectratio="t"/>
            <w10:wrap type="none"/>
            <w10:anchorlock/>
          </v:shape>
          <o:OLEObject Type="Embed" ProgID="Equation.3" ShapeID="_x0000_i1039" DrawAspect="Content" ObjectID="_1468075739" r:id="rId45">
            <o:LockedField>false</o:LockedField>
          </o:OLEObject>
        </w:object>
      </w:r>
      <w:r>
        <w:t>=0.</w:t>
      </w:r>
      <w:r>
        <w:rPr>
          <w:rFonts w:hint="eastAsia"/>
        </w:rPr>
        <w:t>029</w:t>
      </w:r>
      <w:r>
        <w:t>℃</w:t>
      </w:r>
    </w:p>
    <w:p w14:paraId="537E9CA2">
      <w:pPr>
        <w:spacing w:line="360" w:lineRule="auto"/>
        <w:ind w:firstLine="630"/>
      </w:pPr>
      <w:r>
        <w:t>取五次测量的实验标准差作为测量结果，因此</w:t>
      </w:r>
    </w:p>
    <w:p w14:paraId="3533F2DF">
      <w:pPr>
        <w:spacing w:line="360" w:lineRule="auto"/>
        <w:ind w:firstLine="735" w:firstLineChars="350"/>
      </w:pPr>
      <w:r>
        <w:rPr>
          <w:position w:val="-10"/>
        </w:rPr>
        <w:object>
          <v:shape id="_x0000_i1040" o:spt="75" type="#_x0000_t75" style="height:18.75pt;width:64.5pt;" o:ole="t" filled="f" o:preferrelative="t" stroked="f" coordsize="21600,21600">
            <v:path/>
            <v:fill on="f" focussize="0,0"/>
            <v:stroke on="f" joinstyle="miter"/>
            <v:imagedata r:id="rId48" o:title=""/>
            <o:lock v:ext="edit" aspectratio="t"/>
            <w10:wrap type="none"/>
            <w10:anchorlock/>
          </v:shape>
          <o:OLEObject Type="Embed" ProgID="Equation.3" ShapeID="_x0000_i1040" DrawAspect="Content" ObjectID="_1468075740" r:id="rId47">
            <o:LockedField>false</o:LockedField>
          </o:OLEObject>
        </w:object>
      </w:r>
      <w:r>
        <w:t>0.</w:t>
      </w:r>
      <w:r>
        <w:rPr>
          <w:rFonts w:hint="eastAsia"/>
        </w:rPr>
        <w:t>013</w:t>
      </w:r>
      <w:r>
        <w:t>℃</w:t>
      </w:r>
    </w:p>
    <w:p w14:paraId="78D6AB3B">
      <w:pPr>
        <w:spacing w:line="336" w:lineRule="auto"/>
        <w:rPr>
          <w:sz w:val="24"/>
        </w:rPr>
      </w:pPr>
      <w:r>
        <w:rPr>
          <w:sz w:val="24"/>
        </w:rPr>
        <w:t>C.7.2 标准器分辨力引入的不确定度分量</w:t>
      </w:r>
      <w:r>
        <w:rPr>
          <w:position w:val="-12"/>
          <w:sz w:val="24"/>
        </w:rPr>
        <w:object>
          <v:shape id="_x0000_i1041" o:spt="75" type="#_x0000_t75" style="height:18pt;width:12pt;" o:ole="t" filled="f" o:preferrelative="t" stroked="f" coordsize="21600,21600">
            <v:path/>
            <v:fill on="f" focussize="0,0"/>
            <v:stroke on="f" joinstyle="miter"/>
            <v:imagedata r:id="rId50" o:title=""/>
            <o:lock v:ext="edit" aspectratio="t"/>
            <w10:wrap type="none"/>
            <w10:anchorlock/>
          </v:shape>
          <o:OLEObject Type="Embed" ProgID="Equation.3" ShapeID="_x0000_i1041" DrawAspect="Content" ObjectID="_1468075741" r:id="rId49">
            <o:LockedField>false</o:LockedField>
          </o:OLEObject>
        </w:object>
      </w:r>
    </w:p>
    <w:p w14:paraId="73C3C1AF">
      <w:pPr>
        <w:spacing w:line="336" w:lineRule="auto"/>
        <w:ind w:firstLine="480" w:firstLineChars="200"/>
        <w:rPr>
          <w:sz w:val="24"/>
        </w:rPr>
      </w:pPr>
      <w:r>
        <w:rPr>
          <w:sz w:val="24"/>
        </w:rPr>
        <w:t>标准器温度分辨力为0.001℃，不确定度区间半宽0.0005℃，服从均匀分布，取</w:t>
      </w:r>
      <w:r>
        <w:rPr>
          <w:i/>
          <w:sz w:val="24"/>
        </w:rPr>
        <w:t>k</w:t>
      </w:r>
      <w:r>
        <w:rPr>
          <w:sz w:val="24"/>
        </w:rPr>
        <w:t>=</w:t>
      </w:r>
      <w:r>
        <w:rPr>
          <w:position w:val="-8"/>
        </w:rPr>
        <w:object>
          <v:shape id="_x0000_i1042" o:spt="75" type="#_x0000_t75" style="height:17.25pt;width:15.75pt;" o:ole="t" filled="f" o:preferrelative="t" stroked="f" coordsize="21600,21600">
            <v:path/>
            <v:fill on="f" focussize="0,0"/>
            <v:stroke on="f" joinstyle="miter"/>
            <v:imagedata r:id="rId52" o:title=""/>
            <o:lock v:ext="edit" aspectratio="t"/>
            <w10:wrap type="none"/>
            <w10:anchorlock/>
          </v:shape>
          <o:OLEObject Type="Embed" ProgID="Equation.3" ShapeID="_x0000_i1042" DrawAspect="Content" ObjectID="_1468075742" r:id="rId51">
            <o:LockedField>false</o:LockedField>
          </o:OLEObject>
        </w:object>
      </w:r>
      <w:r>
        <w:rPr>
          <w:sz w:val="24"/>
        </w:rPr>
        <w:t>，则分辨力引入的标准不确定度分量：</w:t>
      </w:r>
    </w:p>
    <w:p w14:paraId="6F47C3F2">
      <w:pPr>
        <w:spacing w:line="336" w:lineRule="auto"/>
        <w:ind w:firstLine="480" w:firstLineChars="200"/>
        <w:rPr>
          <w:position w:val="-24"/>
          <w:sz w:val="24"/>
        </w:rPr>
      </w:pPr>
      <w:r>
        <w:rPr>
          <w:position w:val="-22"/>
          <w:sz w:val="24"/>
        </w:rPr>
        <w:object>
          <v:shape id="_x0000_i1043" o:spt="75" type="#_x0000_t75" style="height:26.25pt;width:132.75pt;" o:ole="t" filled="f" o:preferrelative="t" stroked="f" coordsize="21600,21600">
            <v:path/>
            <v:fill on="f" focussize="0,0"/>
            <v:stroke on="f" joinstyle="miter"/>
            <v:imagedata r:id="rId54" o:title=""/>
            <o:lock v:ext="edit" aspectratio="t"/>
            <w10:wrap type="none"/>
            <w10:anchorlock/>
          </v:shape>
          <o:OLEObject Type="Embed" ProgID="Equation.3" ShapeID="_x0000_i1043" DrawAspect="Content" ObjectID="_1468075743" r:id="rId53">
            <o:LockedField>false</o:LockedField>
          </o:OLEObject>
        </w:object>
      </w:r>
      <w:r>
        <w:rPr>
          <w:position w:val="-24"/>
          <w:sz w:val="24"/>
        </w:rPr>
        <w:t>可忽略不计</w:t>
      </w:r>
    </w:p>
    <w:p w14:paraId="78F0D023">
      <w:pPr>
        <w:spacing w:line="360" w:lineRule="auto"/>
        <w:rPr>
          <w:sz w:val="24"/>
        </w:rPr>
      </w:pPr>
      <w:r>
        <w:rPr>
          <w:sz w:val="24"/>
        </w:rPr>
        <w:t>C.7.3 标准器修正值引入的不确定度分量</w:t>
      </w:r>
      <w:r>
        <w:rPr>
          <w:position w:val="-10"/>
          <w:sz w:val="24"/>
        </w:rPr>
        <w:object>
          <v:shape id="_x0000_i1044" o:spt="75" type="#_x0000_t75" style="height:15.75pt;width:12pt;" o:ole="t" filled="f" o:preferrelative="t" stroked="f" coordsize="21600,21600">
            <v:path/>
            <v:fill on="f" focussize="0,0"/>
            <v:stroke on="f" joinstyle="miter"/>
            <v:imagedata r:id="rId56" o:title=""/>
            <o:lock v:ext="edit" aspectratio="t"/>
            <w10:wrap type="none"/>
            <w10:anchorlock/>
          </v:shape>
          <o:OLEObject Type="Embed" ProgID="Equation.3" ShapeID="_x0000_i1044" DrawAspect="Content" ObjectID="_1468075744" r:id="rId55">
            <o:LockedField>false</o:LockedField>
          </o:OLEObject>
        </w:object>
      </w:r>
    </w:p>
    <w:p w14:paraId="1BC28E87">
      <w:pPr>
        <w:spacing w:line="360" w:lineRule="auto"/>
        <w:ind w:firstLine="480" w:firstLineChars="200"/>
        <w:rPr>
          <w:sz w:val="24"/>
        </w:rPr>
      </w:pPr>
      <w:r>
        <w:rPr>
          <w:sz w:val="24"/>
        </w:rPr>
        <w:t>标准器温度修正值的不确定度</w:t>
      </w:r>
      <w:r>
        <w:rPr>
          <w:i/>
          <w:sz w:val="24"/>
        </w:rPr>
        <w:t>U=</w:t>
      </w:r>
      <w:r>
        <w:rPr>
          <w:sz w:val="24"/>
        </w:rPr>
        <w:t>0.04℃，服从正态分布，取</w:t>
      </w:r>
      <w:r>
        <w:rPr>
          <w:i/>
          <w:sz w:val="24"/>
        </w:rPr>
        <w:t>k</w:t>
      </w:r>
      <w:r>
        <w:rPr>
          <w:sz w:val="24"/>
        </w:rPr>
        <w:t>=2，则引入的不确定度分量：</w:t>
      </w:r>
    </w:p>
    <w:p w14:paraId="2DC24DFC">
      <w:pPr>
        <w:spacing w:line="336" w:lineRule="auto"/>
        <w:ind w:firstLine="480" w:firstLineChars="200"/>
        <w:rPr>
          <w:position w:val="-24"/>
          <w:sz w:val="24"/>
        </w:rPr>
      </w:pPr>
      <w:r>
        <w:rPr>
          <w:position w:val="-16"/>
          <w:sz w:val="24"/>
        </w:rPr>
        <w:object>
          <v:shape id="_x0000_i1045" o:spt="75" type="#_x0000_t75" style="height:24pt;width:103.5pt;" o:ole="t" filled="f" o:preferrelative="t" stroked="f" coordsize="21600,21600">
            <v:path/>
            <v:fill on="f" focussize="0,0"/>
            <v:stroke on="f" joinstyle="miter"/>
            <v:imagedata r:id="rId58" o:title=""/>
            <o:lock v:ext="edit" aspectratio="t"/>
            <w10:wrap type="none"/>
            <w10:anchorlock/>
          </v:shape>
          <o:OLEObject Type="Embed" ProgID="Equation.3" ShapeID="_x0000_i1045" DrawAspect="Content" ObjectID="_1468075745" r:id="rId57">
            <o:LockedField>false</o:LockedField>
          </o:OLEObject>
        </w:object>
      </w:r>
    </w:p>
    <w:p w14:paraId="4B1D8A43">
      <w:pPr>
        <w:spacing w:line="336" w:lineRule="auto"/>
        <w:rPr>
          <w:sz w:val="24"/>
        </w:rPr>
      </w:pPr>
      <w:r>
        <w:rPr>
          <w:sz w:val="24"/>
        </w:rPr>
        <w:t>C.7.4 标准器稳定性引入的不确定度分量</w:t>
      </w:r>
      <w:r>
        <w:rPr>
          <w:position w:val="-10"/>
          <w:sz w:val="24"/>
        </w:rPr>
        <w:object>
          <v:shape id="_x0000_i1046" o:spt="75" type="#_x0000_t75" style="height:15.75pt;width:12pt;" o:ole="t" filled="f" o:preferrelative="t" stroked="f" coordsize="21600,21600">
            <v:path/>
            <v:fill on="f" focussize="0,0"/>
            <v:stroke on="f" joinstyle="miter"/>
            <v:imagedata r:id="rId60" o:title=""/>
            <o:lock v:ext="edit" aspectratio="t"/>
            <w10:wrap type="none"/>
            <w10:anchorlock/>
          </v:shape>
          <o:OLEObject Type="Embed" ProgID="Equation.3" ShapeID="_x0000_i1046" DrawAspect="Content" ObjectID="_1468075746" r:id="rId59">
            <o:LockedField>false</o:LockedField>
          </o:OLEObject>
        </w:object>
      </w:r>
    </w:p>
    <w:p w14:paraId="5F717D71">
      <w:pPr>
        <w:spacing w:line="336" w:lineRule="auto"/>
        <w:ind w:firstLine="480" w:firstLineChars="200"/>
        <w:rPr>
          <w:sz w:val="24"/>
        </w:rPr>
      </w:pPr>
      <w:r>
        <w:rPr>
          <w:sz w:val="24"/>
        </w:rPr>
        <w:t>标准器相邻两次校准温度修正值最大变化±0.10℃，按均匀分布，取</w:t>
      </w:r>
      <w:r>
        <w:rPr>
          <w:i/>
          <w:sz w:val="24"/>
        </w:rPr>
        <w:t>k</w:t>
      </w:r>
      <w:r>
        <w:rPr>
          <w:sz w:val="24"/>
        </w:rPr>
        <w:t>=</w:t>
      </w:r>
      <w:r>
        <w:rPr>
          <w:position w:val="-8"/>
        </w:rPr>
        <w:object>
          <v:shape id="_x0000_i1047" o:spt="75" type="#_x0000_t75" style="height:17.25pt;width:15.75pt;" o:ole="t" filled="f" o:preferrelative="t" stroked="f" coordsize="21600,21600">
            <v:path/>
            <v:fill on="f" focussize="0,0"/>
            <v:stroke on="f" joinstyle="miter"/>
            <v:imagedata r:id="rId62" o:title=""/>
            <o:lock v:ext="edit" aspectratio="t"/>
            <w10:wrap type="none"/>
            <w10:anchorlock/>
          </v:shape>
          <o:OLEObject Type="Embed" ProgID="Equation.3" ShapeID="_x0000_i1047" DrawAspect="Content" ObjectID="_1468075747" r:id="rId61">
            <o:LockedField>false</o:LockedField>
          </o:OLEObject>
        </w:object>
      </w:r>
      <w:r>
        <w:t>，</w:t>
      </w:r>
      <w:r>
        <w:rPr>
          <w:sz w:val="24"/>
        </w:rPr>
        <w:t>由此引入的不确定度分量：</w:t>
      </w:r>
    </w:p>
    <w:p w14:paraId="6F99EA72">
      <w:pPr>
        <w:spacing w:line="336" w:lineRule="auto"/>
        <w:ind w:firstLine="480" w:firstLineChars="200"/>
        <w:rPr>
          <w:sz w:val="24"/>
        </w:rPr>
      </w:pPr>
      <w:r>
        <w:rPr>
          <w:position w:val="-22"/>
          <w:sz w:val="24"/>
        </w:rPr>
        <w:object>
          <v:shape id="_x0000_i1048" o:spt="75" type="#_x0000_t75" style="height:26.25pt;width:111.75pt;" o:ole="t" filled="f" o:preferrelative="t" stroked="f" coordsize="21600,21600">
            <v:path/>
            <v:fill on="f" focussize="0,0"/>
            <v:stroke on="f" joinstyle="miter"/>
            <v:imagedata r:id="rId64" o:title=""/>
            <o:lock v:ext="edit" aspectratio="t"/>
            <w10:wrap type="none"/>
            <w10:anchorlock/>
          </v:shape>
          <o:OLEObject Type="Embed" ProgID="Equation.3" ShapeID="_x0000_i1048" DrawAspect="Content" ObjectID="_1468075748" r:id="rId63">
            <o:LockedField>false</o:LockedField>
          </o:OLEObject>
        </w:object>
      </w:r>
    </w:p>
    <w:p w14:paraId="5711928E">
      <w:pPr>
        <w:spacing w:line="336" w:lineRule="auto"/>
        <w:rPr>
          <w:sz w:val="24"/>
        </w:rPr>
      </w:pPr>
      <w:r>
        <w:rPr>
          <w:sz w:val="24"/>
        </w:rPr>
        <w:t>C.8 标准不确定度分量汇总表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2952"/>
        <w:gridCol w:w="2952"/>
      </w:tblGrid>
      <w:tr w14:paraId="3764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52" w:type="dxa"/>
            <w:vAlign w:val="center"/>
          </w:tcPr>
          <w:p w14:paraId="486B9AAB">
            <w:pPr>
              <w:spacing w:line="336" w:lineRule="auto"/>
              <w:jc w:val="center"/>
              <w:rPr>
                <w:sz w:val="24"/>
              </w:rPr>
            </w:pPr>
            <w:r>
              <w:rPr>
                <w:sz w:val="24"/>
              </w:rPr>
              <w:t>标准不确定度符号</w:t>
            </w:r>
          </w:p>
        </w:tc>
        <w:tc>
          <w:tcPr>
            <w:tcW w:w="2952" w:type="dxa"/>
            <w:vAlign w:val="center"/>
          </w:tcPr>
          <w:p w14:paraId="2B5C9682">
            <w:pPr>
              <w:spacing w:line="336" w:lineRule="auto"/>
              <w:jc w:val="center"/>
              <w:rPr>
                <w:sz w:val="24"/>
              </w:rPr>
            </w:pPr>
            <w:r>
              <w:rPr>
                <w:sz w:val="24"/>
              </w:rPr>
              <w:t>不确定度来源</w:t>
            </w:r>
          </w:p>
        </w:tc>
        <w:tc>
          <w:tcPr>
            <w:tcW w:w="2952" w:type="dxa"/>
            <w:vAlign w:val="center"/>
          </w:tcPr>
          <w:p w14:paraId="716840C7">
            <w:pPr>
              <w:spacing w:line="336" w:lineRule="auto"/>
              <w:jc w:val="center"/>
              <w:rPr>
                <w:sz w:val="24"/>
              </w:rPr>
            </w:pPr>
            <w:r>
              <w:rPr>
                <w:sz w:val="24"/>
              </w:rPr>
              <w:t>标准不确定度</w:t>
            </w:r>
          </w:p>
        </w:tc>
      </w:tr>
      <w:tr w14:paraId="400A6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vAlign w:val="center"/>
          </w:tcPr>
          <w:p w14:paraId="476DC576">
            <w:pPr>
              <w:spacing w:line="336" w:lineRule="auto"/>
              <w:jc w:val="center"/>
              <w:rPr>
                <w:sz w:val="24"/>
              </w:rPr>
            </w:pPr>
            <w:r>
              <w:rPr>
                <w:position w:val="-10"/>
              </w:rPr>
              <w:object>
                <v:shape id="_x0000_i1049" o:spt="75" type="#_x0000_t75" style="height:15pt;width:10.5pt;" o:ole="t" filled="f" o:preferrelative="t" stroked="f" coordsize="21600,21600">
                  <v:path/>
                  <v:fill on="f" focussize="0,0"/>
                  <v:stroke on="f" joinstyle="miter"/>
                  <v:imagedata r:id="rId66" o:title=""/>
                  <o:lock v:ext="edit" aspectratio="t"/>
                  <w10:wrap type="none"/>
                  <w10:anchorlock/>
                </v:shape>
                <o:OLEObject Type="Embed" ProgID="Equation.3" ShapeID="_x0000_i1049" DrawAspect="Content" ObjectID="_1468075749" r:id="rId65">
                  <o:LockedField>false</o:LockedField>
                </o:OLEObject>
              </w:object>
            </w:r>
          </w:p>
        </w:tc>
        <w:tc>
          <w:tcPr>
            <w:tcW w:w="2952" w:type="dxa"/>
            <w:vAlign w:val="center"/>
          </w:tcPr>
          <w:p w14:paraId="12E29419">
            <w:pPr>
              <w:spacing w:line="336" w:lineRule="auto"/>
              <w:jc w:val="center"/>
              <w:rPr>
                <w:sz w:val="24"/>
              </w:rPr>
            </w:pPr>
            <w:r>
              <w:rPr>
                <w:sz w:val="24"/>
              </w:rPr>
              <w:t>温度测量重复性</w:t>
            </w:r>
          </w:p>
        </w:tc>
        <w:tc>
          <w:tcPr>
            <w:tcW w:w="2952" w:type="dxa"/>
            <w:vAlign w:val="center"/>
          </w:tcPr>
          <w:p w14:paraId="18AED99D">
            <w:pPr>
              <w:spacing w:line="336" w:lineRule="auto"/>
              <w:jc w:val="center"/>
              <w:rPr>
                <w:sz w:val="24"/>
              </w:rPr>
            </w:pPr>
            <w:r>
              <w:rPr>
                <w:sz w:val="24"/>
              </w:rPr>
              <w:t>0.</w:t>
            </w:r>
            <w:r>
              <w:rPr>
                <w:rFonts w:hint="eastAsia"/>
                <w:sz w:val="24"/>
              </w:rPr>
              <w:t>013</w:t>
            </w:r>
            <w:r>
              <w:rPr>
                <w:sz w:val="24"/>
              </w:rPr>
              <w:t>℃</w:t>
            </w:r>
          </w:p>
        </w:tc>
      </w:tr>
      <w:tr w14:paraId="00845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vAlign w:val="center"/>
          </w:tcPr>
          <w:p w14:paraId="7C7A4C29">
            <w:pPr>
              <w:spacing w:line="336" w:lineRule="auto"/>
              <w:jc w:val="center"/>
              <w:rPr>
                <w:sz w:val="24"/>
              </w:rPr>
            </w:pPr>
            <w:r>
              <w:rPr>
                <w:position w:val="-10"/>
              </w:rPr>
              <w:object>
                <v:shape id="_x0000_i1050" o:spt="75" type="#_x0000_t75" style="height:15pt;width:12pt;" o:ole="t" filled="f" o:preferrelative="t" stroked="f" coordsize="21600,21600">
                  <v:path/>
                  <v:fill on="f" focussize="0,0"/>
                  <v:stroke on="f" joinstyle="miter"/>
                  <v:imagedata r:id="rId68" o:title=""/>
                  <o:lock v:ext="edit" aspectratio="t"/>
                  <w10:wrap type="none"/>
                  <w10:anchorlock/>
                </v:shape>
                <o:OLEObject Type="Embed" ProgID="Equation.3" ShapeID="_x0000_i1050" DrawAspect="Content" ObjectID="_1468075750" r:id="rId67">
                  <o:LockedField>false</o:LockedField>
                </o:OLEObject>
              </w:object>
            </w:r>
          </w:p>
        </w:tc>
        <w:tc>
          <w:tcPr>
            <w:tcW w:w="2952" w:type="dxa"/>
            <w:vAlign w:val="center"/>
          </w:tcPr>
          <w:p w14:paraId="629039AA">
            <w:pPr>
              <w:spacing w:line="336" w:lineRule="auto"/>
              <w:jc w:val="center"/>
              <w:rPr>
                <w:sz w:val="24"/>
              </w:rPr>
            </w:pPr>
            <w:r>
              <w:rPr>
                <w:sz w:val="24"/>
              </w:rPr>
              <w:t>标准器温度分辨力</w:t>
            </w:r>
          </w:p>
        </w:tc>
        <w:tc>
          <w:tcPr>
            <w:tcW w:w="2952" w:type="dxa"/>
            <w:vAlign w:val="center"/>
          </w:tcPr>
          <w:p w14:paraId="0ABC1F6E">
            <w:pPr>
              <w:spacing w:line="336" w:lineRule="auto"/>
              <w:jc w:val="center"/>
              <w:rPr>
                <w:sz w:val="24"/>
              </w:rPr>
            </w:pPr>
            <w:r>
              <w:rPr>
                <w:sz w:val="24"/>
              </w:rPr>
              <w:t>0.0003℃（可忽略不计）</w:t>
            </w:r>
          </w:p>
        </w:tc>
      </w:tr>
      <w:tr w14:paraId="2193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vAlign w:val="center"/>
          </w:tcPr>
          <w:p w14:paraId="76AD87B5">
            <w:pPr>
              <w:spacing w:line="336" w:lineRule="auto"/>
              <w:jc w:val="center"/>
              <w:rPr>
                <w:sz w:val="24"/>
              </w:rPr>
            </w:pPr>
            <w:r>
              <w:rPr>
                <w:position w:val="-10"/>
              </w:rPr>
              <w:object>
                <v:shape id="_x0000_i1051" o:spt="75" type="#_x0000_t75" style="height:15pt;width:12pt;" o:ole="t" filled="f" o:preferrelative="t" stroked="f" coordsize="21600,21600">
                  <v:path/>
                  <v:fill on="f" focussize="0,0"/>
                  <v:stroke on="f" joinstyle="miter"/>
                  <v:imagedata r:id="rId70" o:title=""/>
                  <o:lock v:ext="edit" aspectratio="t"/>
                  <w10:wrap type="none"/>
                  <w10:anchorlock/>
                </v:shape>
                <o:OLEObject Type="Embed" ProgID="Equation.3" ShapeID="_x0000_i1051" DrawAspect="Content" ObjectID="_1468075751" r:id="rId69">
                  <o:LockedField>false</o:LockedField>
                </o:OLEObject>
              </w:object>
            </w:r>
          </w:p>
        </w:tc>
        <w:tc>
          <w:tcPr>
            <w:tcW w:w="2952" w:type="dxa"/>
            <w:vAlign w:val="center"/>
          </w:tcPr>
          <w:p w14:paraId="04DE7155">
            <w:pPr>
              <w:spacing w:line="336" w:lineRule="auto"/>
              <w:jc w:val="center"/>
              <w:rPr>
                <w:sz w:val="24"/>
              </w:rPr>
            </w:pPr>
            <w:r>
              <w:rPr>
                <w:sz w:val="24"/>
              </w:rPr>
              <w:t>标准器温度修正值</w:t>
            </w:r>
          </w:p>
        </w:tc>
        <w:tc>
          <w:tcPr>
            <w:tcW w:w="2952" w:type="dxa"/>
            <w:vAlign w:val="center"/>
          </w:tcPr>
          <w:p w14:paraId="7F8B0E4D">
            <w:pPr>
              <w:spacing w:line="336" w:lineRule="auto"/>
              <w:jc w:val="center"/>
              <w:rPr>
                <w:sz w:val="24"/>
              </w:rPr>
            </w:pPr>
            <w:r>
              <w:rPr>
                <w:sz w:val="24"/>
              </w:rPr>
              <w:t>0.02℃</w:t>
            </w:r>
          </w:p>
        </w:tc>
      </w:tr>
      <w:tr w14:paraId="162E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vAlign w:val="center"/>
          </w:tcPr>
          <w:p w14:paraId="387C9ED1">
            <w:pPr>
              <w:spacing w:line="336" w:lineRule="auto"/>
              <w:jc w:val="center"/>
              <w:rPr>
                <w:sz w:val="24"/>
              </w:rPr>
            </w:pPr>
            <w:r>
              <w:rPr>
                <w:position w:val="-10"/>
              </w:rPr>
              <w:object>
                <v:shape id="_x0000_i1052" o:spt="75" type="#_x0000_t75" style="height:15pt;width:12pt;" o:ole="t" filled="f" o:preferrelative="t" stroked="f" coordsize="21600,21600">
                  <v:path/>
                  <v:fill on="f" focussize="0,0"/>
                  <v:stroke on="f" joinstyle="miter"/>
                  <v:imagedata r:id="rId72" o:title=""/>
                  <o:lock v:ext="edit" aspectratio="t"/>
                  <w10:wrap type="none"/>
                  <w10:anchorlock/>
                </v:shape>
                <o:OLEObject Type="Embed" ProgID="Equation.3" ShapeID="_x0000_i1052" DrawAspect="Content" ObjectID="_1468075752" r:id="rId71">
                  <o:LockedField>false</o:LockedField>
                </o:OLEObject>
              </w:object>
            </w:r>
          </w:p>
        </w:tc>
        <w:tc>
          <w:tcPr>
            <w:tcW w:w="2952" w:type="dxa"/>
            <w:vAlign w:val="center"/>
          </w:tcPr>
          <w:p w14:paraId="1DE83F3D">
            <w:pPr>
              <w:spacing w:line="336" w:lineRule="auto"/>
              <w:jc w:val="center"/>
              <w:rPr>
                <w:sz w:val="24"/>
              </w:rPr>
            </w:pPr>
            <w:r>
              <w:rPr>
                <w:sz w:val="24"/>
              </w:rPr>
              <w:t>标准器温度稳定性</w:t>
            </w:r>
          </w:p>
        </w:tc>
        <w:tc>
          <w:tcPr>
            <w:tcW w:w="2952" w:type="dxa"/>
            <w:vAlign w:val="center"/>
          </w:tcPr>
          <w:p w14:paraId="05FB6A97">
            <w:pPr>
              <w:spacing w:line="336" w:lineRule="auto"/>
              <w:jc w:val="center"/>
              <w:rPr>
                <w:sz w:val="24"/>
              </w:rPr>
            </w:pPr>
            <w:r>
              <w:rPr>
                <w:sz w:val="24"/>
              </w:rPr>
              <w:t>0.06℃</w:t>
            </w:r>
          </w:p>
        </w:tc>
      </w:tr>
    </w:tbl>
    <w:p w14:paraId="0C86AA65">
      <w:pPr>
        <w:spacing w:line="336" w:lineRule="auto"/>
        <w:rPr>
          <w:sz w:val="24"/>
        </w:rPr>
      </w:pPr>
    </w:p>
    <w:p w14:paraId="3A2EA6E8">
      <w:pPr>
        <w:spacing w:line="336" w:lineRule="auto"/>
        <w:rPr>
          <w:sz w:val="24"/>
        </w:rPr>
      </w:pPr>
      <w:r>
        <w:rPr>
          <w:sz w:val="24"/>
        </w:rPr>
        <w:t>C.9合成标准不确定度</w:t>
      </w:r>
    </w:p>
    <w:p w14:paraId="1D4F558B">
      <w:pPr>
        <w:spacing w:line="336" w:lineRule="auto"/>
        <w:ind w:firstLine="420" w:firstLineChars="200"/>
        <w:rPr>
          <w:sz w:val="24"/>
        </w:rPr>
      </w:pPr>
      <m:oMath>
        <m:sSub>
          <m:sSubPr>
            <m:ctrlPr>
              <w:rPr>
                <w:rFonts w:ascii="Cambria Math" w:hAnsi="Cambria Math" w:eastAsia="Cambria Math"/>
                <w:i/>
              </w:rPr>
            </m:ctrlPr>
          </m:sSubPr>
          <m:e>
            <m:r>
              <m:rPr/>
              <w:rPr>
                <w:rFonts w:hint="eastAsia" w:ascii="Cambria Math" w:hAnsi="Cambria Math" w:eastAsiaTheme="minorEastAsia"/>
              </w:rPr>
              <m:t>u</m:t>
            </m:r>
            <m:ctrlPr>
              <w:rPr>
                <w:rFonts w:ascii="Cambria Math" w:hAnsi="Cambria Math" w:eastAsia="Cambria Math"/>
                <w:i/>
              </w:rPr>
            </m:ctrlPr>
          </m:e>
          <m:sub>
            <m:r>
              <m:rPr/>
              <w:rPr>
                <w:rFonts w:ascii="Cambria Math" w:hAnsi="Cambria Math" w:eastAsia="Cambria Math"/>
              </w:rPr>
              <m:t>c</m:t>
            </m:r>
            <m:ctrlPr>
              <w:rPr>
                <w:rFonts w:ascii="Cambria Math" w:hAnsi="Cambria Math" w:eastAsia="Cambria Math"/>
                <w:i/>
              </w:rPr>
            </m:ctrlPr>
          </m:sub>
        </m:sSub>
        <m:r>
          <m:rPr>
            <m:sty m:val="p"/>
          </m:rPr>
          <w:rPr>
            <w:rFonts w:ascii="Cambria Math" w:hAnsi="Cambria Math" w:eastAsia="Cambria Math"/>
          </w:rPr>
          <m:t>=</m:t>
        </m:r>
        <m:rad>
          <m:radPr>
            <m:degHide m:val="1"/>
            <m:ctrlPr>
              <w:rPr>
                <w:rFonts w:ascii="Cambria Math" w:hAnsi="Cambria Math" w:eastAsia="Cambria Math"/>
                <w:i/>
              </w:rPr>
            </m:ctrlPr>
          </m:radPr>
          <m:deg>
            <m:ctrlPr>
              <w:rPr>
                <w:rFonts w:ascii="Cambria Math" w:hAnsi="Cambria Math" w:eastAsia="Cambria Math"/>
                <w:i/>
              </w:rPr>
            </m:ctrlPr>
          </m:deg>
          <m:e>
            <m:sSubSup>
              <m:sSubSupPr>
                <m:ctrlPr>
                  <w:rPr>
                    <w:rFonts w:ascii="Cambria Math" w:hAnsi="Cambria Math" w:eastAsiaTheme="minorEastAsia"/>
                    <w:i/>
                  </w:rPr>
                </m:ctrlPr>
              </m:sSubSupPr>
              <m:e>
                <m:r>
                  <m:rPr/>
                  <w:rPr>
                    <w:rFonts w:hint="eastAsia" w:ascii="Cambria Math" w:hAnsi="Cambria Math" w:eastAsiaTheme="minorEastAsia"/>
                  </w:rPr>
                  <m:t>u</m:t>
                </m:r>
                <m:ctrlPr>
                  <w:rPr>
                    <w:rFonts w:ascii="Cambria Math" w:hAnsi="Cambria Math" w:eastAsiaTheme="minorEastAsia"/>
                    <w:i/>
                  </w:rPr>
                </m:ctrlPr>
              </m:e>
              <m:sub>
                <m:r>
                  <m:rPr/>
                  <w:rPr>
                    <w:rFonts w:ascii="Cambria Math" w:hAnsi="Cambria Math" w:eastAsiaTheme="minorEastAsia"/>
                  </w:rPr>
                  <m:t>1</m:t>
                </m:r>
                <m:ctrlPr>
                  <w:rPr>
                    <w:rFonts w:ascii="Cambria Math" w:hAnsi="Cambria Math" w:eastAsiaTheme="minorEastAsia"/>
                    <w:i/>
                  </w:rPr>
                </m:ctrlPr>
              </m:sub>
              <m:sup>
                <m:r>
                  <m:rPr/>
                  <w:rPr>
                    <w:rFonts w:ascii="Cambria Math" w:hAnsi="Cambria Math" w:eastAsiaTheme="minorEastAsia"/>
                  </w:rPr>
                  <m:t>2</m:t>
                </m:r>
                <m:ctrlPr>
                  <w:rPr>
                    <w:rFonts w:ascii="Cambria Math" w:hAnsi="Cambria Math" w:eastAsiaTheme="minorEastAsia"/>
                    <w:i/>
                  </w:rPr>
                </m:ctrlPr>
              </m:sup>
            </m:sSubSup>
            <m:r>
              <m:rPr/>
              <w:rPr>
                <w:rFonts w:ascii="Cambria Math" w:hAnsi="Cambria Math" w:eastAsiaTheme="minorEastAsia"/>
              </w:rPr>
              <m:t>+</m:t>
            </m:r>
            <m:sSubSup>
              <m:sSubSupPr>
                <m:ctrlPr>
                  <w:rPr>
                    <w:rFonts w:ascii="Cambria Math" w:hAnsi="Cambria Math" w:eastAsiaTheme="minorEastAsia"/>
                    <w:i/>
                  </w:rPr>
                </m:ctrlPr>
              </m:sSubSupPr>
              <m:e>
                <m:r>
                  <m:rPr/>
                  <w:rPr>
                    <w:rFonts w:hint="eastAsia" w:ascii="Cambria Math" w:hAnsi="Cambria Math" w:eastAsiaTheme="minorEastAsia"/>
                  </w:rPr>
                  <m:t>u</m:t>
                </m:r>
                <m:ctrlPr>
                  <w:rPr>
                    <w:rFonts w:ascii="Cambria Math" w:hAnsi="Cambria Math" w:eastAsiaTheme="minorEastAsia"/>
                    <w:i/>
                  </w:rPr>
                </m:ctrlPr>
              </m:e>
              <m:sub>
                <m:r>
                  <m:rPr/>
                  <w:rPr>
                    <w:rFonts w:ascii="Cambria Math" w:hAnsi="Cambria Math" w:eastAsiaTheme="minorEastAsia"/>
                  </w:rPr>
                  <m:t>2</m:t>
                </m:r>
                <m:ctrlPr>
                  <w:rPr>
                    <w:rFonts w:ascii="Cambria Math" w:hAnsi="Cambria Math" w:eastAsiaTheme="minorEastAsia"/>
                    <w:i/>
                  </w:rPr>
                </m:ctrlPr>
              </m:sub>
              <m:sup>
                <m:r>
                  <m:rPr/>
                  <w:rPr>
                    <w:rFonts w:ascii="Cambria Math" w:hAnsi="Cambria Math" w:eastAsiaTheme="minorEastAsia"/>
                  </w:rPr>
                  <m:t>2</m:t>
                </m:r>
                <m:ctrlPr>
                  <w:rPr>
                    <w:rFonts w:ascii="Cambria Math" w:hAnsi="Cambria Math" w:eastAsiaTheme="minorEastAsia"/>
                    <w:i/>
                  </w:rPr>
                </m:ctrlPr>
              </m:sup>
            </m:sSubSup>
            <m:r>
              <m:rPr/>
              <w:rPr>
                <w:rFonts w:ascii="Cambria Math" w:hAnsi="Cambria Math" w:eastAsiaTheme="minorEastAsia"/>
              </w:rPr>
              <m:t>+</m:t>
            </m:r>
            <m:sSubSup>
              <m:sSubSupPr>
                <m:ctrlPr>
                  <w:rPr>
                    <w:rFonts w:ascii="Cambria Math" w:hAnsi="Cambria Math" w:eastAsiaTheme="minorEastAsia"/>
                    <w:i/>
                  </w:rPr>
                </m:ctrlPr>
              </m:sSubSupPr>
              <m:e>
                <m:r>
                  <m:rPr/>
                  <w:rPr>
                    <w:rFonts w:hint="eastAsia" w:ascii="Cambria Math" w:hAnsi="Cambria Math" w:eastAsiaTheme="minorEastAsia"/>
                  </w:rPr>
                  <m:t>u</m:t>
                </m:r>
                <m:ctrlPr>
                  <w:rPr>
                    <w:rFonts w:ascii="Cambria Math" w:hAnsi="Cambria Math" w:eastAsiaTheme="minorEastAsia"/>
                    <w:i/>
                  </w:rPr>
                </m:ctrlPr>
              </m:e>
              <m:sub>
                <m:r>
                  <m:rPr/>
                  <w:rPr>
                    <w:rFonts w:ascii="Cambria Math" w:hAnsi="Cambria Math" w:eastAsiaTheme="minorEastAsia"/>
                  </w:rPr>
                  <m:t>3</m:t>
                </m:r>
                <m:ctrlPr>
                  <w:rPr>
                    <w:rFonts w:ascii="Cambria Math" w:hAnsi="Cambria Math" w:eastAsiaTheme="minorEastAsia"/>
                    <w:i/>
                  </w:rPr>
                </m:ctrlPr>
              </m:sub>
              <m:sup>
                <m:r>
                  <m:rPr/>
                  <w:rPr>
                    <w:rFonts w:ascii="Cambria Math" w:hAnsi="Cambria Math" w:eastAsiaTheme="minorEastAsia"/>
                  </w:rPr>
                  <m:t>2</m:t>
                </m:r>
                <m:ctrlPr>
                  <w:rPr>
                    <w:rFonts w:ascii="Cambria Math" w:hAnsi="Cambria Math" w:eastAsiaTheme="minorEastAsia"/>
                    <w:i/>
                  </w:rPr>
                </m:ctrlPr>
              </m:sup>
            </m:sSubSup>
            <m:r>
              <m:rPr/>
              <w:rPr>
                <w:rFonts w:ascii="Cambria Math" w:hAnsi="Cambria Math" w:eastAsiaTheme="minorEastAsia"/>
              </w:rPr>
              <m:t>+</m:t>
            </m:r>
            <m:sSubSup>
              <m:sSubSupPr>
                <m:ctrlPr>
                  <w:rPr>
                    <w:rFonts w:ascii="Cambria Math" w:hAnsi="Cambria Math" w:eastAsiaTheme="minorEastAsia"/>
                    <w:i/>
                  </w:rPr>
                </m:ctrlPr>
              </m:sSubSupPr>
              <m:e>
                <m:r>
                  <m:rPr/>
                  <w:rPr>
                    <w:rFonts w:hint="eastAsia" w:ascii="Cambria Math" w:hAnsi="Cambria Math" w:eastAsiaTheme="minorEastAsia"/>
                  </w:rPr>
                  <m:t>u</m:t>
                </m:r>
                <m:ctrlPr>
                  <w:rPr>
                    <w:rFonts w:ascii="Cambria Math" w:hAnsi="Cambria Math" w:eastAsiaTheme="minorEastAsia"/>
                    <w:i/>
                  </w:rPr>
                </m:ctrlPr>
              </m:e>
              <m:sub>
                <m:r>
                  <m:rPr/>
                  <w:rPr>
                    <w:rFonts w:ascii="Cambria Math" w:hAnsi="Cambria Math" w:eastAsiaTheme="minorEastAsia"/>
                  </w:rPr>
                  <m:t>4</m:t>
                </m:r>
                <m:ctrlPr>
                  <w:rPr>
                    <w:rFonts w:ascii="Cambria Math" w:hAnsi="Cambria Math" w:eastAsiaTheme="minorEastAsia"/>
                    <w:i/>
                  </w:rPr>
                </m:ctrlPr>
              </m:sub>
              <m:sup>
                <m:r>
                  <m:rPr/>
                  <w:rPr>
                    <w:rFonts w:ascii="Cambria Math" w:hAnsi="Cambria Math" w:eastAsiaTheme="minorEastAsia"/>
                  </w:rPr>
                  <m:t>2</m:t>
                </m:r>
                <m:ctrlPr>
                  <w:rPr>
                    <w:rFonts w:ascii="Cambria Math" w:hAnsi="Cambria Math" w:eastAsiaTheme="minorEastAsia"/>
                    <w:i/>
                  </w:rPr>
                </m:ctrlPr>
              </m:sup>
            </m:sSubSup>
            <m:ctrlPr>
              <w:rPr>
                <w:rFonts w:ascii="Cambria Math" w:hAnsi="Cambria Math" w:eastAsia="Cambria Math"/>
                <w:i/>
              </w:rPr>
            </m:ctrlPr>
          </m:e>
        </m:rad>
      </m:oMath>
      <w:r>
        <w:rPr>
          <w:rFonts w:hint="eastAsia"/>
        </w:rPr>
        <w:t xml:space="preserve"> =0.065</w:t>
      </w:r>
      <w:r>
        <w:rPr>
          <w:sz w:val="24"/>
        </w:rPr>
        <w:t>℃</w:t>
      </w:r>
    </w:p>
    <w:p w14:paraId="1872CB46">
      <w:pPr>
        <w:spacing w:line="336" w:lineRule="auto"/>
        <w:rPr>
          <w:sz w:val="24"/>
        </w:rPr>
      </w:pPr>
      <w:r>
        <w:rPr>
          <w:sz w:val="24"/>
        </w:rPr>
        <w:t>C.10 扩展不确定度</w:t>
      </w:r>
    </w:p>
    <w:p w14:paraId="154A4E9A">
      <w:pPr>
        <w:spacing w:line="336" w:lineRule="auto"/>
        <w:ind w:firstLine="480" w:firstLineChars="200"/>
        <w:rPr>
          <w:sz w:val="24"/>
        </w:rPr>
      </w:pPr>
      <w:r>
        <w:rPr>
          <w:sz w:val="24"/>
        </w:rPr>
        <w:t>取</w:t>
      </w:r>
      <w:r>
        <w:rPr>
          <w:i/>
          <w:sz w:val="24"/>
        </w:rPr>
        <w:t>k</w:t>
      </w:r>
      <w:r>
        <w:rPr>
          <w:sz w:val="24"/>
        </w:rPr>
        <w:t>=2，则</w:t>
      </w:r>
      <m:oMath>
        <m:sSub>
          <m:sSubPr>
            <m:ctrlPr>
              <w:rPr>
                <w:rFonts w:ascii="Cambria Math" w:hAnsi="Cambria Math" w:eastAsia="Cambria Math"/>
                <w:i/>
              </w:rPr>
            </m:ctrlPr>
          </m:sSubPr>
          <m:e>
            <m:r>
              <m:rPr/>
              <w:rPr>
                <w:rFonts w:ascii="Cambria Math" w:hAnsi="Cambria Math" w:eastAsiaTheme="minorEastAsia"/>
              </w:rPr>
              <m:t>U</m:t>
            </m:r>
            <m:ctrlPr>
              <w:rPr>
                <w:rFonts w:ascii="Cambria Math" w:hAnsi="Cambria Math" w:eastAsia="Cambria Math"/>
                <w:i/>
              </w:rPr>
            </m:ctrlPr>
          </m:e>
          <m:sub>
            <m:r>
              <m:rPr/>
              <w:rPr>
                <w:rFonts w:ascii="Cambria Math" w:hAnsi="Cambria Math" w:eastAsia="Cambria Math"/>
              </w:rPr>
              <m:t>1</m:t>
            </m:r>
            <m:ctrlPr>
              <w:rPr>
                <w:rFonts w:ascii="Cambria Math" w:hAnsi="Cambria Math" w:eastAsia="Cambria Math"/>
                <w:i/>
              </w:rPr>
            </m:ctrlPr>
          </m:sub>
        </m:sSub>
        <m:r>
          <m:rPr>
            <m:sty m:val="p"/>
          </m:rPr>
          <w:rPr>
            <w:rFonts w:ascii="Cambria Math" w:hAnsi="Cambria Math" w:eastAsia="Cambria Math"/>
          </w:rPr>
          <m:t>=2</m:t>
        </m:r>
        <m:r>
          <m:rPr/>
          <w:rPr>
            <w:rFonts w:ascii="Cambria Math" w:hAnsi="Cambria Math" w:eastAsiaTheme="minorEastAsia"/>
          </w:rPr>
          <m:t>∗</m:t>
        </m:r>
        <m:sSub>
          <m:sSubPr>
            <m:ctrlPr>
              <w:rPr>
                <w:rFonts w:ascii="Cambria Math" w:hAnsi="Cambria Math" w:eastAsia="Cambria Math"/>
                <w:i/>
              </w:rPr>
            </m:ctrlPr>
          </m:sSubPr>
          <m:e>
            <m:r>
              <m:rPr/>
              <w:rPr>
                <w:rFonts w:hint="eastAsia" w:ascii="Cambria Math" w:hAnsi="Cambria Math" w:eastAsiaTheme="minorEastAsia"/>
              </w:rPr>
              <m:t>u</m:t>
            </m:r>
            <m:ctrlPr>
              <w:rPr>
                <w:rFonts w:ascii="Cambria Math" w:hAnsi="Cambria Math" w:eastAsia="Cambria Math"/>
                <w:i/>
              </w:rPr>
            </m:ctrlPr>
          </m:e>
          <m:sub>
            <m:r>
              <m:rPr/>
              <w:rPr>
                <w:rFonts w:ascii="Cambria Math" w:hAnsi="Cambria Math" w:eastAsia="Cambria Math"/>
              </w:rPr>
              <m:t>c</m:t>
            </m:r>
            <m:ctrlPr>
              <w:rPr>
                <w:rFonts w:ascii="Cambria Math" w:hAnsi="Cambria Math" w:eastAsia="Cambria Math"/>
                <w:i/>
              </w:rPr>
            </m:ctrlPr>
          </m:sub>
        </m:sSub>
      </m:oMath>
      <w:r>
        <w:rPr>
          <w:rFonts w:hint="eastAsia"/>
        </w:rPr>
        <w:t xml:space="preserve"> =0.13</w:t>
      </w:r>
      <w:r>
        <w:rPr>
          <w:sz w:val="24"/>
        </w:rPr>
        <w:t>℃</w:t>
      </w:r>
    </w:p>
    <w:p w14:paraId="27B1800B">
      <w:pPr>
        <w:spacing w:line="336" w:lineRule="auto"/>
        <w:ind w:firstLine="480" w:firstLineChars="200"/>
        <w:rPr>
          <w:position w:val="-10"/>
          <w:sz w:val="24"/>
        </w:rPr>
      </w:pPr>
    </w:p>
    <w:p w14:paraId="54D005C4">
      <w:pPr>
        <w:tabs>
          <w:tab w:val="left" w:pos="0"/>
        </w:tabs>
        <w:autoSpaceDE w:val="0"/>
        <w:autoSpaceDN w:val="0"/>
        <w:adjustRightInd w:val="0"/>
        <w:spacing w:line="360" w:lineRule="auto"/>
        <w:jc w:val="center"/>
        <w:rPr>
          <w:sz w:val="28"/>
          <w:szCs w:val="28"/>
        </w:rPr>
      </w:pPr>
    </w:p>
    <w:p w14:paraId="2A1839AC">
      <w:r>
        <w:br w:type="page"/>
      </w:r>
    </w:p>
    <w:p w14:paraId="228BFBF3">
      <w:pPr>
        <w:pStyle w:val="2"/>
        <w:spacing w:before="0" w:after="0" w:line="360" w:lineRule="auto"/>
        <w:rPr>
          <w:rFonts w:eastAsia="黑体"/>
          <w:b w:val="0"/>
          <w:sz w:val="28"/>
          <w:szCs w:val="28"/>
        </w:rPr>
      </w:pPr>
      <w:bookmarkStart w:id="99" w:name="_Toc126153629"/>
      <w:r>
        <w:rPr>
          <w:rFonts w:hint="eastAsia" w:eastAsia="黑体"/>
          <w:b w:val="0"/>
          <w:sz w:val="28"/>
          <w:szCs w:val="28"/>
        </w:rPr>
        <w:t>附录</w:t>
      </w:r>
      <w:bookmarkEnd w:id="99"/>
      <w:r>
        <w:rPr>
          <w:rFonts w:eastAsia="黑体"/>
          <w:b w:val="0"/>
          <w:sz w:val="28"/>
          <w:szCs w:val="28"/>
        </w:rPr>
        <w:t>D</w:t>
      </w:r>
    </w:p>
    <w:p w14:paraId="72453850">
      <w:pPr>
        <w:tabs>
          <w:tab w:val="left" w:pos="0"/>
        </w:tabs>
        <w:autoSpaceDE w:val="0"/>
        <w:autoSpaceDN w:val="0"/>
        <w:adjustRightInd w:val="0"/>
        <w:spacing w:line="360" w:lineRule="auto"/>
        <w:jc w:val="center"/>
        <w:rPr>
          <w:rFonts w:eastAsia="黑体"/>
          <w:sz w:val="28"/>
          <w:szCs w:val="28"/>
          <w:lang w:val="zh-CN"/>
        </w:rPr>
      </w:pPr>
      <w:r>
        <w:rPr>
          <w:rFonts w:hint="eastAsia" w:eastAsia="黑体"/>
          <w:sz w:val="28"/>
          <w:szCs w:val="28"/>
        </w:rPr>
        <w:t>锂离子电池电芯热参数测试仪</w:t>
      </w:r>
      <w:bookmarkStart w:id="100" w:name="_Toc12427"/>
      <w:bookmarkStart w:id="101" w:name="_Toc14806"/>
      <w:bookmarkStart w:id="102" w:name="_Toc120005596"/>
      <w:bookmarkStart w:id="103" w:name="_Toc9810"/>
      <w:bookmarkStart w:id="104" w:name="_Toc134121133"/>
      <w:bookmarkStart w:id="105" w:name="_Toc184839130"/>
      <w:bookmarkStart w:id="106" w:name="_Toc29920"/>
      <w:r>
        <w:rPr>
          <w:rFonts w:hint="eastAsia" w:eastAsia="黑体"/>
          <w:sz w:val="28"/>
          <w:szCs w:val="28"/>
        </w:rPr>
        <w:t>自放检测灵敏度不确定度</w:t>
      </w:r>
      <w:bookmarkEnd w:id="100"/>
      <w:bookmarkEnd w:id="101"/>
      <w:bookmarkEnd w:id="102"/>
      <w:bookmarkEnd w:id="103"/>
      <w:bookmarkEnd w:id="104"/>
      <w:bookmarkEnd w:id="105"/>
      <w:bookmarkEnd w:id="106"/>
      <w:r>
        <w:rPr>
          <w:rFonts w:hint="eastAsia" w:eastAsia="黑体"/>
          <w:sz w:val="28"/>
          <w:szCs w:val="28"/>
          <w:lang w:val="zh-CN"/>
        </w:rPr>
        <w:t>评定示例</w:t>
      </w:r>
    </w:p>
    <w:p w14:paraId="5AC72BE3">
      <w:pPr>
        <w:pStyle w:val="47"/>
        <w:wordWrap/>
        <w:spacing w:line="360" w:lineRule="auto"/>
        <w:ind w:right="-105"/>
        <w:outlineLvl w:val="9"/>
        <w:rPr>
          <w:rFonts w:ascii="Times New Roman" w:eastAsia="宋体"/>
          <w:sz w:val="24"/>
          <w:szCs w:val="24"/>
        </w:rPr>
      </w:pPr>
      <w:bookmarkStart w:id="107" w:name="_Toc26674"/>
      <w:bookmarkStart w:id="108" w:name="_Toc17365"/>
      <w:bookmarkStart w:id="109" w:name="_Toc32027"/>
      <w:bookmarkStart w:id="110" w:name="_Toc184838697"/>
      <w:bookmarkStart w:id="111" w:name="_Toc16179"/>
      <w:bookmarkStart w:id="112" w:name="_Toc16510"/>
      <w:r>
        <w:rPr>
          <w:rFonts w:hint="eastAsia" w:ascii="Times New Roman" w:eastAsia="宋体"/>
          <w:sz w:val="24"/>
          <w:szCs w:val="24"/>
        </w:rPr>
        <w:t xml:space="preserve">A.1 </w:t>
      </w:r>
      <w:r>
        <w:rPr>
          <w:rFonts w:ascii="Times New Roman" w:eastAsia="宋体"/>
          <w:sz w:val="24"/>
          <w:szCs w:val="24"/>
        </w:rPr>
        <w:t>测量方法</w:t>
      </w:r>
      <w:bookmarkEnd w:id="107"/>
      <w:bookmarkEnd w:id="108"/>
      <w:bookmarkEnd w:id="109"/>
      <w:bookmarkEnd w:id="110"/>
      <w:bookmarkEnd w:id="111"/>
      <w:bookmarkEnd w:id="112"/>
    </w:p>
    <w:p w14:paraId="7B4555E1">
      <w:pPr>
        <w:snapToGrid w:val="0"/>
        <w:spacing w:line="360" w:lineRule="auto"/>
        <w:ind w:firstLine="480" w:firstLineChars="200"/>
        <w:rPr>
          <w:color w:val="000000"/>
          <w:sz w:val="24"/>
        </w:rPr>
      </w:pPr>
      <w:r>
        <w:rPr>
          <w:color w:val="000000"/>
          <w:sz w:val="24"/>
        </w:rPr>
        <w:t>按照本</w:t>
      </w:r>
      <w:r>
        <w:rPr>
          <w:sz w:val="24"/>
        </w:rPr>
        <w:t>规范规定的校准方法，采用标准直流电源输出电功率</w:t>
      </w:r>
      <w:r>
        <w:rPr>
          <w:rFonts w:hint="eastAsia"/>
          <w:sz w:val="24"/>
        </w:rPr>
        <w:t>对样品自放热检测灵敏度</w:t>
      </w:r>
      <w:r>
        <w:rPr>
          <w:sz w:val="24"/>
        </w:rPr>
        <w:t>进行校准。</w:t>
      </w:r>
      <w:r>
        <w:rPr>
          <w:rFonts w:hint="eastAsia"/>
          <w:sz w:val="24"/>
        </w:rPr>
        <w:t>标准样块的质量约为1.5kg，比热容约为910</w:t>
      </w:r>
      <w:r>
        <w:rPr>
          <w:sz w:val="24"/>
        </w:rPr>
        <w:t xml:space="preserve"> J/(kg·℃)</w:t>
      </w:r>
      <w:r>
        <w:rPr>
          <w:rFonts w:hint="eastAsia"/>
          <w:sz w:val="24"/>
        </w:rPr>
        <w:t>，电阻为10Ω；校准实验温度设定值为50</w:t>
      </w:r>
      <w:r>
        <w:rPr>
          <w:sz w:val="24"/>
        </w:rPr>
        <w:t>℃</w:t>
      </w:r>
      <w:r>
        <w:rPr>
          <w:rFonts w:hint="eastAsia"/>
          <w:sz w:val="24"/>
        </w:rPr>
        <w:t>，设定样品预期升温速率为0.01</w:t>
      </w:r>
      <w:r>
        <w:rPr>
          <w:sz w:val="24"/>
        </w:rPr>
        <w:t>℃</w:t>
      </w:r>
      <w:r>
        <w:rPr>
          <w:rFonts w:hint="eastAsia"/>
          <w:sz w:val="24"/>
        </w:rPr>
        <w:t>/min，标准直流电源为恒流输出模式，电流约为0.15A，电压约为1.5V，</w:t>
      </w:r>
      <w:r>
        <w:rPr>
          <w:sz w:val="24"/>
        </w:rPr>
        <w:t>输出电功率约为</w:t>
      </w:r>
      <w:r>
        <w:rPr>
          <w:rFonts w:hint="eastAsia"/>
          <w:sz w:val="24"/>
        </w:rPr>
        <w:t>0.225</w:t>
      </w:r>
      <w:r>
        <w:rPr>
          <w:sz w:val="24"/>
        </w:rPr>
        <w:t>W。</w:t>
      </w:r>
    </w:p>
    <w:p w14:paraId="43FFD76C">
      <w:pPr>
        <w:pStyle w:val="47"/>
        <w:wordWrap/>
        <w:spacing w:line="360" w:lineRule="auto"/>
        <w:ind w:right="-105"/>
        <w:outlineLvl w:val="9"/>
        <w:rPr>
          <w:rFonts w:ascii="Times New Roman" w:eastAsia="宋体"/>
          <w:sz w:val="24"/>
          <w:szCs w:val="24"/>
        </w:rPr>
      </w:pPr>
      <w:bookmarkStart w:id="113" w:name="_Toc11688"/>
      <w:bookmarkStart w:id="114" w:name="_Toc30355"/>
      <w:bookmarkStart w:id="115" w:name="_Toc23154"/>
      <w:bookmarkStart w:id="116" w:name="_Toc23937"/>
      <w:bookmarkStart w:id="117" w:name="_Toc184838698"/>
      <w:bookmarkStart w:id="118" w:name="_Toc2145"/>
      <w:r>
        <w:rPr>
          <w:rFonts w:hint="eastAsia" w:ascii="Times New Roman" w:eastAsia="宋体"/>
          <w:sz w:val="24"/>
          <w:szCs w:val="24"/>
        </w:rPr>
        <w:t xml:space="preserve">A.2 </w:t>
      </w:r>
      <w:r>
        <w:rPr>
          <w:rFonts w:ascii="Times New Roman" w:eastAsia="宋体"/>
          <w:sz w:val="24"/>
          <w:szCs w:val="24"/>
        </w:rPr>
        <w:t>测量模型</w:t>
      </w:r>
      <w:bookmarkEnd w:id="113"/>
      <w:bookmarkEnd w:id="114"/>
      <w:bookmarkEnd w:id="115"/>
      <w:bookmarkEnd w:id="116"/>
      <w:bookmarkEnd w:id="117"/>
      <w:bookmarkEnd w:id="118"/>
    </w:p>
    <w:p w14:paraId="3B5427C8">
      <w:pPr>
        <w:snapToGrid w:val="0"/>
        <w:spacing w:line="360" w:lineRule="auto"/>
        <w:ind w:firstLine="480" w:firstLineChars="200"/>
        <w:jc w:val="left"/>
        <w:rPr>
          <w:sz w:val="24"/>
        </w:rPr>
      </w:pPr>
      <w:r>
        <w:rPr>
          <w:rFonts w:hint="eastAsia"/>
          <w:sz w:val="24"/>
        </w:rPr>
        <w:t>自放检测灵敏度</w:t>
      </w:r>
      <w:r>
        <w:rPr>
          <w:sz w:val="24"/>
        </w:rPr>
        <w:t>按式(A.1)进行计算。</w:t>
      </w:r>
    </w:p>
    <w:p w14:paraId="02BB7AE6">
      <w:pPr>
        <w:pStyle w:val="39"/>
        <w:spacing w:line="360" w:lineRule="auto"/>
        <w:jc w:val="center"/>
        <w:rPr>
          <w:rFonts w:ascii="Times New Roman" w:hAnsi="Times New Roman"/>
        </w:rPr>
      </w:pPr>
      <w:r>
        <w:rPr>
          <w:rFonts w:hint="eastAsia"/>
        </w:rPr>
        <w:t xml:space="preserve">                     </w:t>
      </w:r>
      <m:oMath>
        <m:r>
          <m:rPr/>
          <w:rPr>
            <w:rFonts w:ascii="Cambria Math" w:hAnsi="Cambria Math"/>
          </w:rPr>
          <m:t>ϵ=</m:t>
        </m:r>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m</m:t>
            </m:r>
            <m:ctrlPr>
              <w:rPr>
                <w:rFonts w:ascii="Cambria Math" w:hAnsi="Cambria Math"/>
                <w:i/>
                <w:iCs/>
              </w:rPr>
            </m:ctrlPr>
          </m:sub>
        </m:sSub>
        <m:r>
          <m:rPr/>
          <w:rPr>
            <w:rFonts w:ascii="Cambria Math" w:hAnsi="Cambria Math"/>
          </w:rPr>
          <m:t>−</m:t>
        </m:r>
        <m:r>
          <m:rPr/>
          <w:rPr>
            <w:rFonts w:hint="eastAsia" w:ascii="Cambria Math" w:hAnsi="Cambria Math"/>
          </w:rPr>
          <m:t xml:space="preserve"> </m:t>
        </m:r>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s</m:t>
            </m:r>
            <m:ctrlPr>
              <w:rPr>
                <w:rFonts w:ascii="Cambria Math" w:hAnsi="Cambria Math"/>
                <w:i/>
                <w:iCs/>
              </w:rPr>
            </m:ctrlPr>
          </m:sub>
        </m:sSub>
      </m:oMath>
      <w:r>
        <w:t xml:space="preserve"> </w:t>
      </w:r>
      <w:r>
        <w:rPr>
          <w:rFonts w:hint="eastAsia"/>
        </w:rPr>
        <w:t xml:space="preserve">  </w:t>
      </w:r>
      <w:r>
        <w:rPr>
          <w:rFonts w:hint="eastAsia" w:ascii="Times New Roman" w:hAnsi="Times New Roman"/>
        </w:rPr>
        <w:t xml:space="preserve">                    （A.1）</w:t>
      </w:r>
    </w:p>
    <w:p w14:paraId="28110703">
      <w:pPr>
        <w:snapToGrid w:val="0"/>
        <w:spacing w:line="360" w:lineRule="auto"/>
        <w:ind w:firstLine="480"/>
        <w:jc w:val="left"/>
        <w:rPr>
          <w:sz w:val="24"/>
        </w:rPr>
      </w:pPr>
      <w:r>
        <w:rPr>
          <w:sz w:val="24"/>
        </w:rPr>
        <w:t>式中：</w:t>
      </w:r>
    </w:p>
    <w:p w14:paraId="34957E39">
      <w:pPr>
        <w:snapToGrid w:val="0"/>
        <w:spacing w:line="360" w:lineRule="auto"/>
        <w:ind w:firstLine="480" w:firstLineChars="200"/>
        <w:jc w:val="left"/>
        <w:rPr>
          <w:sz w:val="24"/>
        </w:rPr>
      </w:pPr>
      <m:oMath>
        <m:r>
          <m:rPr/>
          <w:rPr>
            <w:rFonts w:ascii="Cambria Math" w:hAnsi="Cambria Math"/>
            <w:sz w:val="24"/>
          </w:rPr>
          <m:t>ϵ</m:t>
        </m:r>
      </m:oMath>
      <w:r>
        <w:rPr>
          <w:sz w:val="24"/>
        </w:rPr>
        <w:t>——</w:t>
      </w:r>
      <w:r>
        <w:rPr>
          <w:rFonts w:hint="eastAsia"/>
          <w:sz w:val="24"/>
        </w:rPr>
        <w:t>自放检测灵敏度</w:t>
      </w:r>
      <w:r>
        <w:rPr>
          <w:sz w:val="24"/>
        </w:rPr>
        <w:t>，℃</w:t>
      </w:r>
      <w:r>
        <w:rPr>
          <w:rFonts w:hint="eastAsia"/>
          <w:sz w:val="24"/>
        </w:rPr>
        <w:t>/min</w:t>
      </w:r>
      <w:r>
        <w:rPr>
          <w:sz w:val="24"/>
        </w:rPr>
        <w:t>；</w:t>
      </w:r>
    </w:p>
    <w:p w14:paraId="1EED976E">
      <w:pPr>
        <w:snapToGrid w:val="0"/>
        <w:spacing w:line="360" w:lineRule="auto"/>
        <w:ind w:firstLine="480" w:firstLineChars="200"/>
        <w:jc w:val="left"/>
        <w:rPr>
          <w:sz w:val="24"/>
        </w:rPr>
      </w:pPr>
      <m:oMath>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ascii="Cambria Math" w:hAnsi="Cambria Math"/>
                <w:sz w:val="24"/>
              </w:rPr>
              <m:t>m</m:t>
            </m:r>
            <m:ctrlPr>
              <w:rPr>
                <w:rFonts w:ascii="Cambria Math" w:hAnsi="Cambria Math"/>
                <w:i/>
                <w:iCs/>
                <w:sz w:val="24"/>
              </w:rPr>
            </m:ctrlPr>
          </m:sub>
        </m:sSub>
      </m:oMath>
      <w:r>
        <w:rPr>
          <w:sz w:val="24"/>
        </w:rPr>
        <w:t>——校准过程中</w:t>
      </w:r>
      <w:r>
        <w:rPr>
          <w:rFonts w:hint="eastAsia"/>
          <w:sz w:val="24"/>
        </w:rPr>
        <w:t>样品实测升温速率</w:t>
      </w:r>
      <w:r>
        <w:rPr>
          <w:sz w:val="24"/>
        </w:rPr>
        <w:t>，℃</w:t>
      </w:r>
      <w:r>
        <w:rPr>
          <w:rFonts w:hint="eastAsia"/>
          <w:sz w:val="24"/>
        </w:rPr>
        <w:t>/min</w:t>
      </w:r>
      <w:r>
        <w:rPr>
          <w:sz w:val="24"/>
        </w:rPr>
        <w:t>；</w:t>
      </w:r>
    </w:p>
    <w:p w14:paraId="2F0584E3">
      <w:pPr>
        <w:snapToGrid w:val="0"/>
        <w:spacing w:line="360" w:lineRule="auto"/>
        <w:ind w:firstLine="480"/>
        <w:jc w:val="left"/>
        <w:rPr>
          <w:sz w:val="24"/>
        </w:rPr>
      </w:pPr>
      <m:oMath>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ascii="Cambria Math" w:hAnsi="Cambria Math"/>
                <w:sz w:val="24"/>
              </w:rPr>
              <m:t>s</m:t>
            </m:r>
            <m:ctrlPr>
              <w:rPr>
                <w:rFonts w:ascii="Cambria Math" w:hAnsi="Cambria Math"/>
                <w:i/>
                <w:iCs/>
                <w:sz w:val="24"/>
              </w:rPr>
            </m:ctrlPr>
          </m:sub>
        </m:sSub>
        <m:r>
          <m:rPr/>
          <w:rPr>
            <w:rFonts w:ascii="Cambria Math" w:hAnsi="Cambria Math"/>
            <w:sz w:val="24"/>
          </w:rPr>
          <m:t>=</m:t>
        </m:r>
        <m:f>
          <m:fPr>
            <m:ctrlPr>
              <w:rPr>
                <w:rFonts w:hint="eastAsia" w:ascii="Cambria Math" w:hAnsi="Cambria Math"/>
                <w:i/>
                <w:iCs/>
                <w:sz w:val="24"/>
              </w:rPr>
            </m:ctrlPr>
          </m:fPr>
          <m:num>
            <m:sSub>
              <m:sSubPr>
                <m:ctrlPr>
                  <w:rPr>
                    <w:rFonts w:ascii="Cambria Math" w:hAnsi="Cambria Math"/>
                    <w:i/>
                    <w:iCs/>
                    <w:sz w:val="24"/>
                  </w:rPr>
                </m:ctrlPr>
              </m:sSubPr>
              <m:e>
                <m:r>
                  <m:rPr/>
                  <w:rPr>
                    <w:rFonts w:ascii="Cambria Math" w:hAnsi="Cambria Math"/>
                    <w:sz w:val="24"/>
                  </w:rPr>
                  <m:t>U</m:t>
                </m:r>
                <m:ctrlPr>
                  <w:rPr>
                    <w:rFonts w:ascii="Cambria Math" w:hAnsi="Cambria Math"/>
                    <w:i/>
                    <w:iCs/>
                    <w:sz w:val="24"/>
                  </w:rPr>
                </m:ctrlPr>
              </m:e>
              <m:sub>
                <m:r>
                  <m:rPr/>
                  <w:rPr>
                    <w:rFonts w:hint="eastAsia" w:ascii="Cambria Math" w:hAnsi="Cambria Math"/>
                    <w:sz w:val="24"/>
                  </w:rPr>
                  <m:t>m</m:t>
                </m:r>
                <m:ctrlPr>
                  <w:rPr>
                    <w:rFonts w:ascii="Cambria Math" w:hAnsi="Cambria Math"/>
                    <w:i/>
                    <w:iCs/>
                    <w:sz w:val="24"/>
                  </w:rPr>
                </m:ctrlPr>
              </m:sub>
            </m:sSub>
            <m:r>
              <m:rPr/>
              <w:rPr>
                <w:rFonts w:ascii="Cambria Math" w:hAnsi="Cambria Math"/>
                <w:sz w:val="24"/>
              </w:rPr>
              <m:t>∗</m:t>
            </m:r>
            <m:sSub>
              <m:sSubPr>
                <m:ctrlPr>
                  <w:rPr>
                    <w:rFonts w:ascii="Cambria Math" w:hAnsi="Cambria Math"/>
                    <w:i/>
                    <w:iCs/>
                    <w:sz w:val="24"/>
                  </w:rPr>
                </m:ctrlPr>
              </m:sSubPr>
              <m:e>
                <m:r>
                  <m:rPr/>
                  <w:rPr>
                    <w:rFonts w:ascii="Cambria Math" w:hAnsi="Cambria Math"/>
                    <w:sz w:val="24"/>
                  </w:rPr>
                  <m:t>I</m:t>
                </m:r>
                <m:ctrlPr>
                  <w:rPr>
                    <w:rFonts w:ascii="Cambria Math" w:hAnsi="Cambria Math"/>
                    <w:i/>
                    <w:iCs/>
                    <w:sz w:val="24"/>
                  </w:rPr>
                </m:ctrlPr>
              </m:e>
              <m:sub>
                <m:r>
                  <m:rPr/>
                  <w:rPr>
                    <w:rFonts w:hint="eastAsia" w:ascii="Cambria Math" w:hAnsi="Cambria Math"/>
                    <w:sz w:val="24"/>
                  </w:rPr>
                  <m:t>m</m:t>
                </m:r>
                <m:ctrlPr>
                  <w:rPr>
                    <w:rFonts w:ascii="Cambria Math" w:hAnsi="Cambria Math"/>
                    <w:i/>
                    <w:iCs/>
                    <w:sz w:val="24"/>
                  </w:rPr>
                </m:ctrlPr>
              </m:sub>
            </m:sSub>
            <m:ctrlPr>
              <w:rPr>
                <w:rFonts w:hint="eastAsia" w:ascii="Cambria Math" w:hAnsi="Cambria Math"/>
                <w:i/>
                <w:iCs/>
                <w:sz w:val="24"/>
              </w:rPr>
            </m:ctrlPr>
          </m:num>
          <m:den>
            <m:sSub>
              <m:sSubPr>
                <m:ctrlPr>
                  <w:rPr>
                    <w:rFonts w:ascii="Cambria Math" w:hAnsi="Cambria Math"/>
                    <w:i/>
                    <w:iCs/>
                    <w:sz w:val="24"/>
                  </w:rPr>
                </m:ctrlPr>
              </m:sSubPr>
              <m:e>
                <m:r>
                  <m:rPr/>
                  <w:rPr>
                    <w:rFonts w:ascii="Cambria Math" w:hAnsi="Cambria Math"/>
                    <w:sz w:val="24"/>
                  </w:rPr>
                  <m:t>C</m:t>
                </m:r>
                <m:ctrlPr>
                  <w:rPr>
                    <w:rFonts w:ascii="Cambria Math" w:hAnsi="Cambria Math"/>
                    <w:i/>
                    <w:iCs/>
                    <w:sz w:val="24"/>
                  </w:rPr>
                </m:ctrlPr>
              </m:e>
              <m:sub>
                <m:r>
                  <m:rPr/>
                  <w:rPr>
                    <w:rFonts w:hint="eastAsia" w:ascii="Cambria Math" w:hAnsi="Cambria Math"/>
                    <w:sz w:val="24"/>
                  </w:rPr>
                  <m:t>p</m:t>
                </m:r>
                <m:ctrlPr>
                  <w:rPr>
                    <w:rFonts w:ascii="Cambria Math" w:hAnsi="Cambria Math"/>
                    <w:i/>
                    <w:iCs/>
                    <w:sz w:val="24"/>
                  </w:rPr>
                </m:ctrlPr>
              </m:sub>
            </m:sSub>
            <m:r>
              <m:rPr/>
              <w:rPr>
                <w:rFonts w:ascii="Cambria Math" w:hAnsi="Cambria Math"/>
                <w:sz w:val="24"/>
              </w:rPr>
              <m:t>∗</m:t>
            </m:r>
            <m:r>
              <m:rPr/>
              <w:rPr>
                <w:rFonts w:hint="eastAsia" w:ascii="Cambria Math" w:hAnsi="Cambria Math"/>
                <w:sz w:val="24"/>
              </w:rPr>
              <m:t>m</m:t>
            </m:r>
            <m:ctrlPr>
              <w:rPr>
                <w:rFonts w:hint="eastAsia" w:ascii="Cambria Math" w:hAnsi="Cambria Math"/>
                <w:i/>
                <w:iCs/>
                <w:sz w:val="24"/>
              </w:rPr>
            </m:ctrlPr>
          </m:den>
        </m:f>
        <m:r>
          <m:rPr/>
          <w:rPr>
            <w:rFonts w:ascii="Cambria Math" w:hAnsi="Cambria Math"/>
            <w:sz w:val="24"/>
          </w:rPr>
          <m:t>×60</m:t>
        </m:r>
      </m:oMath>
      <w:r>
        <w:rPr>
          <w:sz w:val="24"/>
        </w:rPr>
        <w:t>——校准过程中</w:t>
      </w:r>
      <w:r>
        <w:rPr>
          <w:rFonts w:hint="eastAsia"/>
          <w:sz w:val="24"/>
        </w:rPr>
        <w:t>样品理论升温速率</w:t>
      </w:r>
      <w:r>
        <w:rPr>
          <w:sz w:val="24"/>
        </w:rPr>
        <w:t>，℃</w:t>
      </w:r>
      <w:r>
        <w:rPr>
          <w:rFonts w:hint="eastAsia"/>
          <w:sz w:val="24"/>
        </w:rPr>
        <w:t>/min</w:t>
      </w:r>
      <w:r>
        <w:rPr>
          <w:sz w:val="24"/>
        </w:rPr>
        <w:t>；</w:t>
      </w:r>
    </w:p>
    <w:p w14:paraId="560101D8">
      <w:pPr>
        <w:spacing w:line="360" w:lineRule="auto"/>
        <w:rPr>
          <w:spacing w:val="2"/>
          <w:kern w:val="21"/>
          <w:sz w:val="24"/>
        </w:rPr>
      </w:pPr>
      <w:r>
        <w:rPr>
          <w:rFonts w:hint="eastAsia"/>
          <w:spacing w:val="2"/>
          <w:kern w:val="21"/>
          <w:sz w:val="24"/>
        </w:rPr>
        <w:t>A.3</w:t>
      </w:r>
      <w:r>
        <w:rPr>
          <w:spacing w:val="2"/>
          <w:kern w:val="21"/>
          <w:sz w:val="24"/>
        </w:rPr>
        <w:t>不确定度传播律</w:t>
      </w:r>
    </w:p>
    <w:p w14:paraId="4282A7D6">
      <w:pPr>
        <w:spacing w:line="360" w:lineRule="auto"/>
        <w:ind w:firstLine="480" w:firstLineChars="200"/>
        <w:rPr>
          <w:sz w:val="24"/>
        </w:rPr>
      </w:pPr>
      <w:r>
        <w:rPr>
          <w:sz w:val="24"/>
        </w:rPr>
        <w:t>各输入量之间不相关，根据不确定度传播律，其合成标准不确定度可用公式（A.</w:t>
      </w:r>
      <w:r>
        <w:rPr>
          <w:rFonts w:hint="eastAsia"/>
          <w:sz w:val="24"/>
        </w:rPr>
        <w:t>2</w:t>
      </w:r>
      <w:r>
        <w:rPr>
          <w:sz w:val="24"/>
        </w:rPr>
        <w:t>）表示：</w:t>
      </w:r>
      <w:r>
        <w:rPr>
          <w:sz w:val="24"/>
        </w:rPr>
        <w:fldChar w:fldCharType="begin"/>
      </w:r>
      <w:r>
        <w:rPr>
          <w:sz w:val="24"/>
        </w:rPr>
        <w:instrText xml:space="preserve"> MACROBUTTON MTEditEquationSection2 </w:instrText>
      </w:r>
      <w:r>
        <w:rPr>
          <w:rStyle w:val="37"/>
        </w:rPr>
        <w:instrText xml:space="preserve">Equation Section (Next)</w:instrText>
      </w:r>
      <w:r>
        <w:rPr>
          <w:sz w:val="24"/>
        </w:rPr>
        <w:fldChar w:fldCharType="begin"/>
      </w:r>
      <w:r>
        <w:rPr>
          <w:sz w:val="24"/>
        </w:rPr>
        <w:instrText xml:space="preserve"> SEQ MTEqn \r \h \* MERGEFORMAT </w:instrText>
      </w:r>
      <w:r>
        <w:rPr>
          <w:sz w:val="24"/>
        </w:rPr>
        <w:fldChar w:fldCharType="end"/>
      </w:r>
      <w:r>
        <w:rPr>
          <w:sz w:val="24"/>
        </w:rPr>
        <w:fldChar w:fldCharType="begin"/>
      </w:r>
      <w:r>
        <w:rPr>
          <w:sz w:val="24"/>
        </w:rPr>
        <w:instrText xml:space="preserve"> SEQ MTSec \h \* MERGEFORMAT </w:instrText>
      </w:r>
      <w:r>
        <w:rPr>
          <w:sz w:val="24"/>
        </w:rPr>
        <w:fldChar w:fldCharType="end"/>
      </w:r>
      <w:r>
        <w:rPr>
          <w:sz w:val="24"/>
        </w:rPr>
        <w:fldChar w:fldCharType="end"/>
      </w:r>
    </w:p>
    <w:p w14:paraId="55F44736">
      <w:pPr>
        <w:pStyle w:val="39"/>
        <w:spacing w:line="360" w:lineRule="auto"/>
        <w:ind w:firstLine="1680" w:firstLineChars="800"/>
      </w:pPr>
      <m:oMath>
        <m:sSub>
          <m:sSubPr>
            <m:ctrlPr>
              <w:rPr>
                <w:rFonts w:ascii="Cambria Math" w:hAnsi="Cambria Math" w:eastAsia="Cambria Math"/>
                <w:i/>
                <w:sz w:val="21"/>
              </w:rPr>
            </m:ctrlPr>
          </m:sSubPr>
          <m:e>
            <m:r>
              <m:rPr/>
              <w:rPr>
                <w:rFonts w:hint="eastAsia" w:ascii="Cambria Math" w:hAnsi="Cambria Math" w:eastAsiaTheme="minorEastAsia"/>
              </w:rPr>
              <m:t>u</m:t>
            </m:r>
            <m:ctrlPr>
              <w:rPr>
                <w:rFonts w:ascii="Cambria Math" w:hAnsi="Cambria Math" w:eastAsia="Cambria Math"/>
                <w:i/>
                <w:sz w:val="21"/>
              </w:rPr>
            </m:ctrlPr>
          </m:e>
          <m:sub>
            <m:r>
              <m:rPr/>
              <w:rPr>
                <w:rFonts w:ascii="Cambria Math" w:hAnsi="Cambria Math" w:eastAsia="Cambria Math"/>
              </w:rPr>
              <m:t>c</m:t>
            </m:r>
            <m:ctrlPr>
              <w:rPr>
                <w:rFonts w:ascii="Cambria Math" w:hAnsi="Cambria Math" w:eastAsia="Cambria Math"/>
                <w:i/>
                <w:sz w:val="21"/>
              </w:rPr>
            </m:ctrlPr>
          </m:sub>
        </m:sSub>
        <m:r>
          <m:rPr>
            <m:sty m:val="p"/>
          </m:rPr>
          <w:rPr>
            <w:rFonts w:ascii="Cambria Math" w:hAnsi="Cambria Math" w:eastAsia="Cambria Math"/>
          </w:rPr>
          <m:t>(</m:t>
        </m:r>
        <m:r>
          <m:rPr/>
          <w:rPr>
            <w:rFonts w:ascii="Cambria Math" w:hAnsi="Cambria Math"/>
          </w:rPr>
          <m:t>ϵ</m:t>
        </m:r>
        <m:r>
          <m:rPr/>
          <w:rPr>
            <w:rFonts w:ascii="Cambria Math" w:hAnsi="Cambria Math" w:eastAsiaTheme="minorEastAsia"/>
          </w:rPr>
          <m:t>)</m:t>
        </m:r>
        <m:r>
          <m:rPr>
            <m:sty m:val="p"/>
          </m:rPr>
          <w:rPr>
            <w:rFonts w:ascii="Cambria Math" w:hAnsi="Cambria Math" w:eastAsia="Cambria Math"/>
          </w:rPr>
          <m:t>=</m:t>
        </m:r>
        <m:rad>
          <m:radPr>
            <m:degHide m:val="1"/>
            <m:ctrlPr>
              <w:rPr>
                <w:rFonts w:ascii="Cambria Math" w:hAnsi="Cambria Math" w:eastAsia="Cambria Math"/>
                <w:i/>
                <w:sz w:val="21"/>
              </w:rPr>
            </m:ctrlPr>
          </m:radPr>
          <m:deg>
            <m:ctrlPr>
              <w:rPr>
                <w:rFonts w:ascii="Cambria Math" w:hAnsi="Cambria Math" w:eastAsia="Cambria Math"/>
                <w:i/>
                <w:sz w:val="21"/>
              </w:rPr>
            </m:ctrlPr>
          </m:deg>
          <m:e>
            <m:sSubSup>
              <m:sSubSupPr>
                <m:ctrlPr>
                  <w:rPr>
                    <w:rFonts w:ascii="Cambria Math" w:hAnsi="Cambria Math" w:eastAsiaTheme="minorEastAsia"/>
                    <w:i/>
                    <w:sz w:val="21"/>
                  </w:rPr>
                </m:ctrlPr>
              </m:sSubSupPr>
              <m:e>
                <m:r>
                  <m:rPr/>
                  <w:rPr>
                    <w:rFonts w:ascii="Cambria Math" w:hAnsi="Cambria Math" w:eastAsiaTheme="minorEastAsia"/>
                  </w:rPr>
                  <m:t>c</m:t>
                </m:r>
                <m:ctrlPr>
                  <w:rPr>
                    <w:rFonts w:ascii="Cambria Math" w:hAnsi="Cambria Math" w:eastAsiaTheme="minorEastAsia"/>
                    <w:i/>
                    <w:sz w:val="21"/>
                  </w:rPr>
                </m:ctrlPr>
              </m:e>
              <m:sub>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m</m:t>
                    </m:r>
                    <m:ctrlPr>
                      <w:rPr>
                        <w:rFonts w:ascii="Cambria Math" w:hAnsi="Cambria Math"/>
                        <w:i/>
                        <w:iCs/>
                      </w:rPr>
                    </m:ctrlPr>
                  </m:sub>
                </m:sSub>
                <m:ctrlPr>
                  <w:rPr>
                    <w:rFonts w:ascii="Cambria Math" w:hAnsi="Cambria Math" w:eastAsiaTheme="minorEastAsia"/>
                    <w:i/>
                    <w:sz w:val="21"/>
                  </w:rPr>
                </m:ctrlPr>
              </m:sub>
              <m:sup>
                <m:r>
                  <m:rPr/>
                  <w:rPr>
                    <w:rFonts w:ascii="Cambria Math" w:hAnsi="Cambria Math" w:eastAsiaTheme="minorEastAsia"/>
                  </w:rPr>
                  <m:t>2</m:t>
                </m:r>
                <m:ctrlPr>
                  <w:rPr>
                    <w:rFonts w:ascii="Cambria Math" w:hAnsi="Cambria Math" w:eastAsiaTheme="minorEastAsia"/>
                    <w:i/>
                    <w:sz w:val="21"/>
                  </w:rPr>
                </m:ctrlPr>
              </m:sup>
            </m:sSubSup>
            <m:sSup>
              <m:sSupPr>
                <m:ctrlPr>
                  <w:rPr>
                    <w:rFonts w:hint="eastAsia" w:ascii="Cambria Math" w:hAnsi="Cambria Math"/>
                    <w:i/>
                  </w:rPr>
                </m:ctrlPr>
              </m:sSupPr>
              <m:e>
                <m:r>
                  <m:rPr/>
                  <w:rPr>
                    <w:rFonts w:hint="eastAsia" w:ascii="Cambria Math" w:hAnsi="Cambria Math" w:eastAsiaTheme="minorEastAsia"/>
                  </w:rPr>
                  <m:t>u</m:t>
                </m:r>
                <m:ctrlPr>
                  <w:rPr>
                    <w:rFonts w:ascii="Cambria Math" w:hAnsi="Cambria Math"/>
                    <w:i/>
                  </w:rPr>
                </m:ctrlPr>
              </m:e>
              <m:sup>
                <m:r>
                  <m:rPr/>
                  <w:rPr>
                    <w:rFonts w:ascii="Cambria Math" w:hAnsi="Cambria Math" w:eastAsiaTheme="minorEastAsia"/>
                  </w:rPr>
                  <m:t>2</m:t>
                </m:r>
                <m:ctrlPr>
                  <w:rPr>
                    <w:rFonts w:ascii="Cambria Math" w:hAnsi="Cambria Math"/>
                    <w:i/>
                  </w:rPr>
                </m:ctrlPr>
              </m:sup>
            </m:sSup>
            <m:r>
              <m:rPr/>
              <w:rPr>
                <w:rFonts w:ascii="Cambria Math" w:hAnsi="Cambria Math" w:eastAsiaTheme="minorEastAsia"/>
              </w:rPr>
              <m:t>(</m:t>
            </m:r>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m</m:t>
                </m:r>
                <m:ctrlPr>
                  <w:rPr>
                    <w:rFonts w:ascii="Cambria Math" w:hAnsi="Cambria Math"/>
                    <w:i/>
                    <w:iCs/>
                  </w:rPr>
                </m:ctrlPr>
              </m:sub>
            </m:sSub>
            <m:r>
              <m:rPr/>
              <w:rPr>
                <w:rFonts w:ascii="Cambria Math" w:hAnsi="Cambria Math" w:eastAsiaTheme="minorEastAsia"/>
              </w:rPr>
              <m:t>)+</m:t>
            </m:r>
            <m:sSubSup>
              <m:sSubSupPr>
                <m:ctrlPr>
                  <w:rPr>
                    <w:rFonts w:ascii="Cambria Math" w:hAnsi="Cambria Math" w:eastAsiaTheme="minorEastAsia"/>
                    <w:i/>
                    <w:sz w:val="21"/>
                  </w:rPr>
                </m:ctrlPr>
              </m:sSubSupPr>
              <m:e>
                <m:r>
                  <m:rPr/>
                  <w:rPr>
                    <w:rFonts w:ascii="Cambria Math" w:hAnsi="Cambria Math" w:eastAsiaTheme="minorEastAsia"/>
                  </w:rPr>
                  <m:t>c</m:t>
                </m:r>
                <m:ctrlPr>
                  <w:rPr>
                    <w:rFonts w:ascii="Cambria Math" w:hAnsi="Cambria Math" w:eastAsiaTheme="minorEastAsia"/>
                    <w:i/>
                    <w:sz w:val="21"/>
                  </w:rPr>
                </m:ctrlPr>
              </m:e>
              <m:sub>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s</m:t>
                    </m:r>
                    <m:ctrlPr>
                      <w:rPr>
                        <w:rFonts w:ascii="Cambria Math" w:hAnsi="Cambria Math"/>
                        <w:i/>
                        <w:iCs/>
                      </w:rPr>
                    </m:ctrlPr>
                  </m:sub>
                </m:sSub>
                <m:ctrlPr>
                  <w:rPr>
                    <w:rFonts w:ascii="Cambria Math" w:hAnsi="Cambria Math" w:eastAsiaTheme="minorEastAsia"/>
                    <w:i/>
                    <w:sz w:val="21"/>
                  </w:rPr>
                </m:ctrlPr>
              </m:sub>
              <m:sup>
                <m:r>
                  <m:rPr/>
                  <w:rPr>
                    <w:rFonts w:ascii="Cambria Math" w:hAnsi="Cambria Math" w:eastAsiaTheme="minorEastAsia"/>
                  </w:rPr>
                  <m:t>2</m:t>
                </m:r>
                <m:ctrlPr>
                  <w:rPr>
                    <w:rFonts w:ascii="Cambria Math" w:hAnsi="Cambria Math" w:eastAsiaTheme="minorEastAsia"/>
                    <w:i/>
                    <w:sz w:val="21"/>
                  </w:rPr>
                </m:ctrlPr>
              </m:sup>
            </m:sSubSup>
            <m:sSup>
              <m:sSupPr>
                <m:ctrlPr>
                  <w:rPr>
                    <w:rFonts w:hint="eastAsia" w:ascii="Cambria Math" w:hAnsi="Cambria Math"/>
                    <w:i/>
                  </w:rPr>
                </m:ctrlPr>
              </m:sSupPr>
              <m:e>
                <m:r>
                  <m:rPr/>
                  <w:rPr>
                    <w:rFonts w:hint="eastAsia" w:ascii="Cambria Math" w:hAnsi="Cambria Math" w:eastAsiaTheme="minorEastAsia"/>
                  </w:rPr>
                  <m:t>u</m:t>
                </m:r>
                <m:ctrlPr>
                  <w:rPr>
                    <w:rFonts w:ascii="Cambria Math" w:hAnsi="Cambria Math"/>
                    <w:i/>
                  </w:rPr>
                </m:ctrlPr>
              </m:e>
              <m:sup>
                <m:r>
                  <m:rPr/>
                  <w:rPr>
                    <w:rFonts w:ascii="Cambria Math" w:hAnsi="Cambria Math" w:eastAsiaTheme="minorEastAsia"/>
                  </w:rPr>
                  <m:t>2</m:t>
                </m:r>
                <m:ctrlPr>
                  <w:rPr>
                    <w:rFonts w:ascii="Cambria Math" w:hAnsi="Cambria Math"/>
                    <w:i/>
                  </w:rPr>
                </m:ctrlPr>
              </m:sup>
            </m:sSup>
            <m:r>
              <m:rPr/>
              <w:rPr>
                <w:rFonts w:ascii="Cambria Math" w:hAnsi="Cambria Math" w:eastAsiaTheme="minorEastAsia"/>
              </w:rPr>
              <m:t>(</m:t>
            </m:r>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s</m:t>
                </m:r>
                <m:ctrlPr>
                  <w:rPr>
                    <w:rFonts w:ascii="Cambria Math" w:hAnsi="Cambria Math"/>
                    <w:i/>
                    <w:iCs/>
                  </w:rPr>
                </m:ctrlPr>
              </m:sub>
            </m:sSub>
            <m:r>
              <m:rPr/>
              <w:rPr>
                <w:rFonts w:ascii="Cambria Math" w:hAnsi="Cambria Math" w:eastAsiaTheme="minorEastAsia"/>
              </w:rPr>
              <m:t>)</m:t>
            </m:r>
            <m:ctrlPr>
              <w:rPr>
                <w:rFonts w:ascii="Cambria Math" w:hAnsi="Cambria Math" w:eastAsia="Cambria Math"/>
                <w:i/>
                <w:sz w:val="21"/>
              </w:rPr>
            </m:ctrlPr>
          </m:e>
        </m:rad>
      </m:oMath>
      <w:r>
        <w:rPr>
          <w:rFonts w:hint="eastAsia"/>
        </w:rPr>
        <w:t xml:space="preserve">        </w:t>
      </w:r>
      <w:r>
        <w:rPr>
          <w:rFonts w:hint="eastAsia" w:ascii="Times New Roman" w:hAnsi="Times New Roman"/>
        </w:rPr>
        <w:t>(A.2)</w:t>
      </w:r>
    </w:p>
    <w:p w14:paraId="5A106EF8">
      <w:pPr>
        <w:pStyle w:val="39"/>
        <w:spacing w:line="360" w:lineRule="auto"/>
      </w:pPr>
    </w:p>
    <w:p w14:paraId="32BF8039">
      <w:pPr>
        <w:pStyle w:val="39"/>
        <w:spacing w:line="360" w:lineRule="auto"/>
      </w:pPr>
      <w:r>
        <w:t>式中，灵敏系数可表示为：</w:t>
      </w:r>
    </w:p>
    <w:p w14:paraId="5B9108F0">
      <w:pPr>
        <w:pStyle w:val="39"/>
        <w:spacing w:line="360" w:lineRule="auto"/>
        <w:jc w:val="center"/>
        <w:rPr>
          <w:rFonts w:ascii="Times New Roman" w:hAnsi="Times New Roman"/>
        </w:rPr>
      </w:pPr>
      <w:r>
        <w:rPr>
          <w:rFonts w:hint="eastAsia"/>
        </w:rPr>
        <w:t xml:space="preserve">                      </w:t>
      </w:r>
      <w:r>
        <w:t xml:space="preserve"> </w:t>
      </w:r>
      <w:r>
        <w:rPr>
          <w:rFonts w:hint="eastAsia"/>
        </w:rPr>
        <w:t xml:space="preserve">  </w:t>
      </w:r>
      <m:oMath>
        <m:sSub>
          <m:sSubPr>
            <m:ctrlPr>
              <w:rPr>
                <w:rFonts w:ascii="Cambria Math" w:hAnsi="Cambria Math"/>
                <w:i/>
              </w:rPr>
            </m:ctrlPr>
          </m:sSubPr>
          <m:e>
            <m:r>
              <m:rPr/>
              <w:rPr>
                <w:rFonts w:ascii="Cambria Math" w:hAnsi="Cambria Math" w:eastAsiaTheme="minorEastAsia"/>
              </w:rPr>
              <m:t>c</m:t>
            </m:r>
            <m:ctrlPr>
              <w:rPr>
                <w:rFonts w:ascii="Cambria Math" w:hAnsi="Cambria Math"/>
                <w:i/>
              </w:rPr>
            </m:ctrlPr>
          </m:e>
          <m:sub>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m</m:t>
                </m:r>
                <m:ctrlPr>
                  <w:rPr>
                    <w:rFonts w:ascii="Cambria Math" w:hAnsi="Cambria Math"/>
                    <w:i/>
                    <w:iCs/>
                  </w:rPr>
                </m:ctrlPr>
              </m:sub>
            </m:sSub>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m:t>
            </m:r>
            <m:d>
              <m:dPr>
                <m:ctrlPr>
                  <w:rPr>
                    <w:rFonts w:ascii="Cambria Math" w:hAnsi="Cambria Math"/>
                    <w:i/>
                  </w:rPr>
                </m:ctrlPr>
              </m:dPr>
              <m:e>
                <m:r>
                  <m:rPr/>
                  <w:rPr>
                    <w:rFonts w:ascii="Cambria Math" w:hAnsi="Cambria Math"/>
                  </w:rPr>
                  <m:t>ϵ</m:t>
                </m:r>
                <m:ctrlPr>
                  <w:rPr>
                    <w:rFonts w:ascii="Cambria Math" w:hAnsi="Cambria Math"/>
                    <w:i/>
                  </w:rPr>
                </m:ctrlPr>
              </m:e>
            </m:d>
            <m:ctrlPr>
              <w:rPr>
                <w:rFonts w:ascii="Cambria Math" w:hAnsi="Cambria Math"/>
                <w:i/>
              </w:rPr>
            </m:ctrlPr>
          </m:num>
          <m:den>
            <m:r>
              <m:rPr/>
              <w:rPr>
                <w:rFonts w:ascii="Cambria Math" w:hAnsi="Cambria Math"/>
              </w:rPr>
              <m:t>∂</m:t>
            </m:r>
            <m:d>
              <m:dPr>
                <m:ctrlPr>
                  <w:rPr>
                    <w:rFonts w:ascii="Cambria Math" w:hAnsi="Cambria Math"/>
                    <w:i/>
                  </w:rPr>
                </m:ctrlPr>
              </m:dPr>
              <m:e>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m</m:t>
                    </m:r>
                    <m:ctrlPr>
                      <w:rPr>
                        <w:rFonts w:ascii="Cambria Math" w:hAnsi="Cambria Math"/>
                        <w:i/>
                        <w:iCs/>
                      </w:rPr>
                    </m:ctrlPr>
                  </m:sub>
                </m:sSub>
                <m:ctrlPr>
                  <w:rPr>
                    <w:rFonts w:ascii="Cambria Math" w:hAnsi="Cambria Math"/>
                    <w:i/>
                  </w:rPr>
                </m:ctrlPr>
              </m:e>
            </m:d>
            <m:ctrlPr>
              <w:rPr>
                <w:rFonts w:ascii="Cambria Math" w:hAnsi="Cambria Math"/>
                <w:i/>
              </w:rPr>
            </m:ctrlPr>
          </m:den>
        </m:f>
        <m:r>
          <m:rPr/>
          <w:rPr>
            <w:rFonts w:ascii="Cambria Math" w:hAnsi="Cambria Math"/>
          </w:rPr>
          <m:t>=1</m:t>
        </m:r>
      </m:oMath>
      <w:r>
        <w:rPr>
          <w:rFonts w:hint="eastAsia"/>
        </w:rPr>
        <w:t xml:space="preserve">                 </w:t>
      </w:r>
      <w:r>
        <w:rPr>
          <w:rFonts w:hint="eastAsia" w:ascii="Times New Roman" w:hAnsi="Times New Roman"/>
        </w:rPr>
        <w:t>(A.3)</w:t>
      </w:r>
    </w:p>
    <w:p w14:paraId="50CBBC93">
      <w:pPr>
        <w:pStyle w:val="39"/>
        <w:spacing w:line="360" w:lineRule="auto"/>
      </w:pPr>
      <w:r>
        <w:tab/>
      </w:r>
      <w:r>
        <w:rPr>
          <w:rFonts w:hint="eastAsia"/>
        </w:rPr>
        <w:t xml:space="preserve">                 </w:t>
      </w:r>
      <m:oMath>
        <m:sSub>
          <m:sSubPr>
            <m:ctrlPr>
              <w:rPr>
                <w:rFonts w:ascii="Cambria Math" w:hAnsi="Cambria Math"/>
                <w:i/>
              </w:rPr>
            </m:ctrlPr>
          </m:sSubPr>
          <m:e>
            <m:r>
              <m:rPr/>
              <w:rPr>
                <w:rFonts w:ascii="Cambria Math" w:hAnsi="Cambria Math" w:eastAsiaTheme="minorEastAsia"/>
              </w:rPr>
              <m:t>c</m:t>
            </m:r>
            <m:ctrlPr>
              <w:rPr>
                <w:rFonts w:ascii="Cambria Math" w:hAnsi="Cambria Math"/>
                <w:i/>
              </w:rPr>
            </m:ctrlPr>
          </m:e>
          <m:sub>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s</m:t>
                </m:r>
                <m:ctrlPr>
                  <w:rPr>
                    <w:rFonts w:ascii="Cambria Math" w:hAnsi="Cambria Math"/>
                    <w:i/>
                    <w:iCs/>
                  </w:rPr>
                </m:ctrlPr>
              </m:sub>
            </m:sSub>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m:t>
            </m:r>
            <m:d>
              <m:dPr>
                <m:ctrlPr>
                  <w:rPr>
                    <w:rFonts w:ascii="Cambria Math" w:hAnsi="Cambria Math"/>
                    <w:i/>
                  </w:rPr>
                </m:ctrlPr>
              </m:dPr>
              <m:e>
                <m:r>
                  <m:rPr/>
                  <w:rPr>
                    <w:rFonts w:ascii="Cambria Math" w:hAnsi="Cambria Math"/>
                  </w:rPr>
                  <m:t>ϵ</m:t>
                </m:r>
                <m:ctrlPr>
                  <w:rPr>
                    <w:rFonts w:ascii="Cambria Math" w:hAnsi="Cambria Math"/>
                    <w:i/>
                  </w:rPr>
                </m:ctrlPr>
              </m:e>
            </m:d>
            <m:ctrlPr>
              <w:rPr>
                <w:rFonts w:ascii="Cambria Math" w:hAnsi="Cambria Math"/>
                <w:i/>
              </w:rPr>
            </m:ctrlPr>
          </m:num>
          <m:den>
            <m:r>
              <m:rPr/>
              <w:rPr>
                <w:rFonts w:ascii="Cambria Math" w:hAnsi="Cambria Math"/>
              </w:rPr>
              <m:t>∂</m:t>
            </m:r>
            <m:d>
              <m:dPr>
                <m:ctrlPr>
                  <w:rPr>
                    <w:rFonts w:ascii="Cambria Math" w:hAnsi="Cambria Math"/>
                    <w:i/>
                  </w:rPr>
                </m:ctrlPr>
              </m:dPr>
              <m:e>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s</m:t>
                    </m:r>
                    <m:ctrlPr>
                      <w:rPr>
                        <w:rFonts w:ascii="Cambria Math" w:hAnsi="Cambria Math"/>
                        <w:i/>
                        <w:iCs/>
                      </w:rPr>
                    </m:ctrlPr>
                  </m:sub>
                </m:sSub>
                <m:ctrlPr>
                  <w:rPr>
                    <w:rFonts w:ascii="Cambria Math" w:hAnsi="Cambria Math"/>
                    <w:i/>
                  </w:rPr>
                </m:ctrlPr>
              </m:e>
            </m:d>
            <m:ctrlPr>
              <w:rPr>
                <w:rFonts w:ascii="Cambria Math" w:hAnsi="Cambria Math"/>
                <w:i/>
              </w:rPr>
            </m:ctrlPr>
          </m:den>
        </m:f>
        <m:r>
          <m:rPr/>
          <w:rPr>
            <w:rFonts w:ascii="Cambria Math" w:hAnsi="Cambria Math"/>
          </w:rPr>
          <m:t>=−1</m:t>
        </m:r>
      </m:oMath>
      <w:r>
        <w:rPr>
          <w:rFonts w:hint="eastAsia"/>
        </w:rPr>
        <w:t xml:space="preserve"> </w:t>
      </w:r>
      <w:r>
        <w:t xml:space="preserve"> </w:t>
      </w:r>
      <w:r>
        <w:rPr>
          <w:rFonts w:hint="eastAsia"/>
        </w:rPr>
        <w:t xml:space="preserve">               </w:t>
      </w:r>
      <w:r>
        <w:rPr>
          <w:rFonts w:hint="eastAsia" w:ascii="Times New Roman" w:hAnsi="Times New Roman"/>
        </w:rPr>
        <w:t>(A.4)</w:t>
      </w:r>
      <w:r>
        <w:tab/>
      </w:r>
    </w:p>
    <w:p w14:paraId="1AB0B3E7">
      <w:pPr>
        <w:spacing w:line="360" w:lineRule="auto"/>
        <w:ind w:firstLine="480" w:firstLineChars="200"/>
        <w:jc w:val="left"/>
        <w:rPr>
          <w:sz w:val="24"/>
        </w:rPr>
      </w:pPr>
      <w:r>
        <w:rPr>
          <w:rFonts w:hint="eastAsia"/>
          <w:sz w:val="24"/>
        </w:rPr>
        <w:t>因此</w:t>
      </w:r>
      <w:r>
        <w:rPr>
          <w:sz w:val="24"/>
        </w:rPr>
        <w:t>可得</w:t>
      </w:r>
      <w:r>
        <w:rPr>
          <w:rFonts w:hint="eastAsia"/>
          <w:sz w:val="24"/>
        </w:rPr>
        <w:t>自放热检测灵敏度</w:t>
      </w:r>
      <w:r>
        <w:rPr>
          <w:sz w:val="24"/>
        </w:rPr>
        <w:t>的不确定度计算公式：</w:t>
      </w:r>
    </w:p>
    <w:p w14:paraId="6E6FDF1F">
      <w:pPr>
        <w:pStyle w:val="39"/>
        <w:spacing w:line="360" w:lineRule="auto"/>
      </w:pPr>
      <w:r>
        <w:tab/>
      </w:r>
      <w:r>
        <w:rPr>
          <w:rFonts w:hint="eastAsia"/>
        </w:rPr>
        <w:t xml:space="preserve">           </w:t>
      </w:r>
      <m:oMath>
        <m:sSub>
          <m:sSubPr>
            <m:ctrlPr>
              <w:rPr>
                <w:rFonts w:ascii="Cambria Math" w:hAnsi="Cambria Math" w:eastAsia="Cambria Math"/>
                <w:i/>
                <w:sz w:val="21"/>
              </w:rPr>
            </m:ctrlPr>
          </m:sSubPr>
          <m:e>
            <m:r>
              <m:rPr/>
              <w:rPr>
                <w:rFonts w:hint="eastAsia" w:ascii="Cambria Math" w:hAnsi="Cambria Math" w:eastAsiaTheme="minorEastAsia"/>
              </w:rPr>
              <m:t>u</m:t>
            </m:r>
            <m:ctrlPr>
              <w:rPr>
                <w:rFonts w:ascii="Cambria Math" w:hAnsi="Cambria Math" w:eastAsia="Cambria Math"/>
                <w:i/>
                <w:sz w:val="21"/>
              </w:rPr>
            </m:ctrlPr>
          </m:e>
          <m:sub>
            <m:r>
              <m:rPr/>
              <w:rPr>
                <w:rFonts w:ascii="Cambria Math" w:hAnsi="Cambria Math" w:eastAsia="Cambria Math"/>
              </w:rPr>
              <m:t>c</m:t>
            </m:r>
            <m:ctrlPr>
              <w:rPr>
                <w:rFonts w:ascii="Cambria Math" w:hAnsi="Cambria Math" w:eastAsia="Cambria Math"/>
                <w:i/>
                <w:sz w:val="21"/>
              </w:rPr>
            </m:ctrlPr>
          </m:sub>
        </m:sSub>
        <m:r>
          <m:rPr>
            <m:sty m:val="p"/>
          </m:rPr>
          <w:rPr>
            <w:rFonts w:ascii="Cambria Math" w:hAnsi="Cambria Math" w:eastAsia="Cambria Math"/>
          </w:rPr>
          <m:t>(</m:t>
        </m:r>
        <m:r>
          <m:rPr/>
          <w:rPr>
            <w:rFonts w:ascii="Cambria Math" w:hAnsi="Cambria Math"/>
          </w:rPr>
          <m:t>ϵ</m:t>
        </m:r>
        <m:r>
          <m:rPr/>
          <w:rPr>
            <w:rFonts w:ascii="Cambria Math" w:hAnsi="Cambria Math" w:eastAsiaTheme="minorEastAsia"/>
          </w:rPr>
          <m:t>)</m:t>
        </m:r>
        <m:r>
          <m:rPr>
            <m:sty m:val="p"/>
          </m:rPr>
          <w:rPr>
            <w:rFonts w:ascii="Cambria Math" w:hAnsi="Cambria Math" w:eastAsia="Cambria Math"/>
          </w:rPr>
          <m:t>=</m:t>
        </m:r>
        <m:rad>
          <m:radPr>
            <m:degHide m:val="1"/>
            <m:ctrlPr>
              <w:rPr>
                <w:rFonts w:ascii="Cambria Math" w:hAnsi="Cambria Math" w:eastAsia="Cambria Math"/>
                <w:i/>
                <w:sz w:val="21"/>
              </w:rPr>
            </m:ctrlPr>
          </m:radPr>
          <m:deg>
            <m:ctrlPr>
              <w:rPr>
                <w:rFonts w:ascii="Cambria Math" w:hAnsi="Cambria Math" w:eastAsia="Cambria Math"/>
                <w:i/>
                <w:sz w:val="21"/>
              </w:rPr>
            </m:ctrlPr>
          </m:deg>
          <m:e>
            <m:sSup>
              <m:sSupPr>
                <m:ctrlPr>
                  <w:rPr>
                    <w:rFonts w:hint="eastAsia" w:ascii="Cambria Math" w:hAnsi="Cambria Math"/>
                    <w:i/>
                  </w:rPr>
                </m:ctrlPr>
              </m:sSupPr>
              <m:e>
                <m:r>
                  <m:rPr/>
                  <w:rPr>
                    <w:rFonts w:hint="eastAsia" w:ascii="Cambria Math" w:hAnsi="Cambria Math" w:eastAsiaTheme="minorEastAsia"/>
                  </w:rPr>
                  <m:t>u</m:t>
                </m:r>
                <m:ctrlPr>
                  <w:rPr>
                    <w:rFonts w:ascii="Cambria Math" w:hAnsi="Cambria Math"/>
                    <w:i/>
                  </w:rPr>
                </m:ctrlPr>
              </m:e>
              <m:sup>
                <m:r>
                  <m:rPr/>
                  <w:rPr>
                    <w:rFonts w:ascii="Cambria Math" w:hAnsi="Cambria Math" w:eastAsiaTheme="minorEastAsia"/>
                  </w:rPr>
                  <m:t>2</m:t>
                </m:r>
                <m:ctrlPr>
                  <w:rPr>
                    <w:rFonts w:ascii="Cambria Math" w:hAnsi="Cambria Math"/>
                    <w:i/>
                  </w:rPr>
                </m:ctrlPr>
              </m:sup>
            </m:sSup>
            <m:r>
              <m:rPr/>
              <w:rPr>
                <w:rFonts w:ascii="Cambria Math" w:hAnsi="Cambria Math" w:eastAsiaTheme="minorEastAsia"/>
              </w:rPr>
              <m:t>(</m:t>
            </m:r>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m</m:t>
                </m:r>
                <m:ctrlPr>
                  <w:rPr>
                    <w:rFonts w:ascii="Cambria Math" w:hAnsi="Cambria Math"/>
                    <w:i/>
                    <w:iCs/>
                  </w:rPr>
                </m:ctrlPr>
              </m:sub>
            </m:sSub>
            <m:r>
              <m:rPr/>
              <w:rPr>
                <w:rFonts w:ascii="Cambria Math" w:hAnsi="Cambria Math" w:eastAsiaTheme="minorEastAsia"/>
              </w:rPr>
              <m:t>)+</m:t>
            </m:r>
            <m:sSup>
              <m:sSupPr>
                <m:ctrlPr>
                  <w:rPr>
                    <w:rFonts w:hint="eastAsia" w:ascii="Cambria Math" w:hAnsi="Cambria Math"/>
                    <w:i/>
                  </w:rPr>
                </m:ctrlPr>
              </m:sSupPr>
              <m:e>
                <m:r>
                  <m:rPr/>
                  <w:rPr>
                    <w:rFonts w:hint="eastAsia" w:ascii="Cambria Math" w:hAnsi="Cambria Math" w:eastAsiaTheme="minorEastAsia"/>
                  </w:rPr>
                  <m:t>u</m:t>
                </m:r>
                <m:ctrlPr>
                  <w:rPr>
                    <w:rFonts w:ascii="Cambria Math" w:hAnsi="Cambria Math"/>
                    <w:i/>
                  </w:rPr>
                </m:ctrlPr>
              </m:e>
              <m:sup>
                <m:r>
                  <m:rPr/>
                  <w:rPr>
                    <w:rFonts w:ascii="Cambria Math" w:hAnsi="Cambria Math" w:eastAsiaTheme="minorEastAsia"/>
                  </w:rPr>
                  <m:t>2</m:t>
                </m:r>
                <m:ctrlPr>
                  <w:rPr>
                    <w:rFonts w:ascii="Cambria Math" w:hAnsi="Cambria Math"/>
                    <w:i/>
                  </w:rPr>
                </m:ctrlPr>
              </m:sup>
            </m:sSup>
            <m:r>
              <m:rPr/>
              <w:rPr>
                <w:rFonts w:ascii="Cambria Math" w:hAnsi="Cambria Math" w:eastAsiaTheme="minorEastAsia"/>
              </w:rPr>
              <m:t>(</m:t>
            </m:r>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s</m:t>
                </m:r>
                <m:ctrlPr>
                  <w:rPr>
                    <w:rFonts w:ascii="Cambria Math" w:hAnsi="Cambria Math"/>
                    <w:i/>
                    <w:iCs/>
                  </w:rPr>
                </m:ctrlPr>
              </m:sub>
            </m:sSub>
            <m:r>
              <m:rPr/>
              <w:rPr>
                <w:rFonts w:ascii="Cambria Math" w:hAnsi="Cambria Math" w:eastAsiaTheme="minorEastAsia"/>
              </w:rPr>
              <m:t>)</m:t>
            </m:r>
            <m:ctrlPr>
              <w:rPr>
                <w:rFonts w:ascii="Cambria Math" w:hAnsi="Cambria Math" w:eastAsia="Cambria Math"/>
                <w:i/>
                <w:sz w:val="21"/>
              </w:rPr>
            </m:ctrlPr>
          </m:e>
        </m:rad>
      </m:oMath>
      <w:r>
        <w:t xml:space="preserve"> </w:t>
      </w:r>
      <w:r>
        <w:rPr>
          <w:rFonts w:hint="eastAsia"/>
        </w:rPr>
        <w:t xml:space="preserve">             </w:t>
      </w:r>
      <w:r>
        <w:rPr>
          <w:rFonts w:hint="eastAsia" w:ascii="Times New Roman" w:hAnsi="Times New Roman"/>
        </w:rPr>
        <w:t>(A.5)</w:t>
      </w:r>
    </w:p>
    <w:p w14:paraId="02E9E232">
      <w:pPr>
        <w:snapToGrid w:val="0"/>
        <w:spacing w:line="360" w:lineRule="auto"/>
        <w:ind w:firstLine="480"/>
        <w:jc w:val="left"/>
        <w:rPr>
          <w:sz w:val="24"/>
        </w:rPr>
      </w:pPr>
      <w:r>
        <w:rPr>
          <w:sz w:val="24"/>
        </w:rPr>
        <w:t>式中：</w:t>
      </w:r>
    </w:p>
    <w:p w14:paraId="6851C1A5">
      <w:pPr>
        <w:snapToGrid w:val="0"/>
        <w:spacing w:line="360" w:lineRule="auto"/>
        <w:ind w:firstLine="420" w:firstLineChars="200"/>
        <w:jc w:val="left"/>
        <w:rPr>
          <w:sz w:val="24"/>
        </w:rPr>
      </w:pPr>
      <m:oMath>
        <m:sSub>
          <m:sSubPr>
            <m:ctrlPr>
              <w:rPr>
                <w:rFonts w:ascii="Cambria Math" w:hAnsi="Cambria Math" w:eastAsia="Cambria Math"/>
                <w:i/>
              </w:rPr>
            </m:ctrlPr>
          </m:sSubPr>
          <m:e>
            <m:r>
              <m:rPr/>
              <w:rPr>
                <w:rFonts w:hint="eastAsia" w:ascii="Cambria Math" w:hAnsi="Cambria Math" w:eastAsiaTheme="minorEastAsia"/>
              </w:rPr>
              <m:t>u</m:t>
            </m:r>
            <m:ctrlPr>
              <w:rPr>
                <w:rFonts w:ascii="Cambria Math" w:hAnsi="Cambria Math" w:eastAsia="Cambria Math"/>
                <w:i/>
              </w:rPr>
            </m:ctrlPr>
          </m:e>
          <m:sub>
            <m:r>
              <m:rPr/>
              <w:rPr>
                <w:rFonts w:ascii="Cambria Math" w:hAnsi="Cambria Math" w:eastAsia="Cambria Math"/>
              </w:rPr>
              <m:t>c</m:t>
            </m:r>
            <m:ctrlPr>
              <w:rPr>
                <w:rFonts w:ascii="Cambria Math" w:hAnsi="Cambria Math" w:eastAsia="Cambria Math"/>
                <w:i/>
              </w:rPr>
            </m:ctrlPr>
          </m:sub>
        </m:sSub>
        <m:r>
          <m:rPr>
            <m:sty m:val="p"/>
          </m:rPr>
          <w:rPr>
            <w:rFonts w:ascii="Cambria Math" w:hAnsi="Cambria Math" w:eastAsia="Cambria Math"/>
          </w:rPr>
          <m:t>(</m:t>
        </m:r>
        <m:r>
          <m:rPr/>
          <w:rPr>
            <w:rFonts w:ascii="Cambria Math" w:hAnsi="Cambria Math"/>
            <w:sz w:val="24"/>
          </w:rPr>
          <m:t>ϵ</m:t>
        </m:r>
        <m:r>
          <m:rPr/>
          <w:rPr>
            <w:rFonts w:ascii="Cambria Math" w:hAnsi="Cambria Math" w:eastAsiaTheme="minorEastAsia"/>
          </w:rPr>
          <m:t>)</m:t>
        </m:r>
      </m:oMath>
      <w:r>
        <w:rPr>
          <w:sz w:val="24"/>
        </w:rPr>
        <w:t>——</w:t>
      </w:r>
      <w:r>
        <w:rPr>
          <w:rFonts w:hint="eastAsia"/>
          <w:sz w:val="24"/>
        </w:rPr>
        <w:t>自放热检测灵敏度</w:t>
      </w:r>
      <w:r>
        <w:rPr>
          <w:sz w:val="24"/>
        </w:rPr>
        <w:t>的合成标准不确定度；</w:t>
      </w:r>
    </w:p>
    <w:p w14:paraId="4D66374C">
      <w:pPr>
        <w:snapToGrid w:val="0"/>
        <w:spacing w:line="360" w:lineRule="auto"/>
        <w:ind w:firstLine="420" w:firstLineChars="200"/>
        <w:jc w:val="left"/>
        <w:rPr>
          <w:sz w:val="24"/>
        </w:rPr>
      </w:pPr>
      <m:oMath>
        <m:r>
          <m:rPr/>
          <w:rPr>
            <w:rFonts w:hint="eastAsia" w:ascii="Cambria Math" w:hAnsi="Cambria Math" w:eastAsiaTheme="minorEastAsia"/>
          </w:rPr>
          <m:t>u</m:t>
        </m:r>
        <m:r>
          <m:rPr/>
          <w:rPr>
            <w:rFonts w:ascii="Cambria Math" w:hAnsi="Cambria Math" w:eastAsiaTheme="minorEastAsia"/>
          </w:rPr>
          <m:t>(</m:t>
        </m:r>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ascii="Cambria Math" w:hAnsi="Cambria Math"/>
                <w:sz w:val="24"/>
              </w:rPr>
              <m:t>m</m:t>
            </m:r>
            <m:ctrlPr>
              <w:rPr>
                <w:rFonts w:ascii="Cambria Math" w:hAnsi="Cambria Math"/>
                <w:i/>
                <w:iCs/>
                <w:sz w:val="24"/>
              </w:rPr>
            </m:ctrlPr>
          </m:sub>
        </m:sSub>
        <m:r>
          <m:rPr/>
          <w:rPr>
            <w:rFonts w:ascii="Cambria Math" w:hAnsi="Cambria Math" w:eastAsiaTheme="minorEastAsia"/>
          </w:rPr>
          <m:t>)</m:t>
        </m:r>
      </m:oMath>
      <w:r>
        <w:rPr>
          <w:sz w:val="24"/>
        </w:rPr>
        <w:t>——被校</w:t>
      </w:r>
      <w:r>
        <w:rPr>
          <w:rFonts w:hint="eastAsia"/>
          <w:sz w:val="24"/>
        </w:rPr>
        <w:t>锂离子电池电芯热参数测试仪测量重复性</w:t>
      </w:r>
      <w:r>
        <w:rPr>
          <w:sz w:val="24"/>
        </w:rPr>
        <w:t>引入的不确定度分量；</w:t>
      </w:r>
    </w:p>
    <w:p w14:paraId="01C6D213">
      <w:pPr>
        <w:snapToGrid w:val="0"/>
        <w:spacing w:line="360" w:lineRule="auto"/>
        <w:ind w:firstLine="420" w:firstLineChars="200"/>
        <w:jc w:val="left"/>
        <w:rPr>
          <w:sz w:val="24"/>
        </w:rPr>
      </w:pPr>
      <m:oMath>
        <m:r>
          <m:rPr/>
          <w:rPr>
            <w:rFonts w:hint="eastAsia" w:ascii="Cambria Math" w:hAnsi="Cambria Math" w:eastAsiaTheme="minorEastAsia"/>
          </w:rPr>
          <m:t>u</m:t>
        </m:r>
        <m:r>
          <m:rPr/>
          <w:rPr>
            <w:rFonts w:ascii="Cambria Math" w:hAnsi="Cambria Math" w:eastAsiaTheme="minorEastAsia"/>
          </w:rPr>
          <m:t>(</m:t>
        </m:r>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hint="eastAsia" w:ascii="Cambria Math" w:hAnsi="Cambria Math"/>
                <w:sz w:val="24"/>
              </w:rPr>
              <m:t>s</m:t>
            </m:r>
            <m:ctrlPr>
              <w:rPr>
                <w:rFonts w:ascii="Cambria Math" w:hAnsi="Cambria Math"/>
                <w:i/>
                <w:iCs/>
                <w:sz w:val="24"/>
              </w:rPr>
            </m:ctrlPr>
          </m:sub>
        </m:sSub>
        <m:r>
          <m:rPr/>
          <w:rPr>
            <w:rFonts w:ascii="Cambria Math" w:hAnsi="Cambria Math" w:eastAsiaTheme="minorEastAsia"/>
          </w:rPr>
          <m:t>)</m:t>
        </m:r>
      </m:oMath>
      <w:r>
        <w:rPr>
          <w:sz w:val="24"/>
        </w:rPr>
        <w:t>——标准电功率</w:t>
      </w:r>
      <w:r>
        <w:rPr>
          <w:rFonts w:hint="eastAsia"/>
          <w:sz w:val="24"/>
        </w:rPr>
        <w:t>校准方法</w:t>
      </w:r>
      <w:r>
        <w:rPr>
          <w:sz w:val="24"/>
        </w:rPr>
        <w:t>引入的不确定度分量。</w:t>
      </w:r>
    </w:p>
    <w:p w14:paraId="6E2A51F3">
      <w:pPr>
        <w:spacing w:line="360" w:lineRule="auto"/>
        <w:rPr>
          <w:spacing w:val="2"/>
          <w:kern w:val="21"/>
          <w:sz w:val="24"/>
        </w:rPr>
      </w:pPr>
      <w:r>
        <w:rPr>
          <w:rFonts w:hint="eastAsia"/>
          <w:spacing w:val="2"/>
          <w:kern w:val="21"/>
          <w:sz w:val="24"/>
        </w:rPr>
        <w:t>A.4</w:t>
      </w:r>
      <w:r>
        <w:rPr>
          <w:spacing w:val="2"/>
          <w:kern w:val="21"/>
          <w:sz w:val="24"/>
        </w:rPr>
        <w:t>不确定度分量的评定</w:t>
      </w:r>
    </w:p>
    <w:p w14:paraId="4DD2A211">
      <w:pPr>
        <w:spacing w:line="360" w:lineRule="auto"/>
        <w:jc w:val="left"/>
        <w:rPr>
          <w:spacing w:val="2"/>
          <w:kern w:val="21"/>
          <w:sz w:val="24"/>
        </w:rPr>
      </w:pPr>
      <w:r>
        <w:rPr>
          <w:spacing w:val="2"/>
          <w:kern w:val="21"/>
          <w:sz w:val="24"/>
        </w:rPr>
        <w:t>A</w:t>
      </w:r>
      <w:r>
        <w:rPr>
          <w:rFonts w:hint="eastAsia"/>
          <w:spacing w:val="2"/>
          <w:kern w:val="21"/>
          <w:sz w:val="24"/>
        </w:rPr>
        <w:t>.</w:t>
      </w:r>
      <w:r>
        <w:rPr>
          <w:spacing w:val="2"/>
          <w:kern w:val="21"/>
          <w:sz w:val="24"/>
        </w:rPr>
        <w:t>4.1　</w:t>
      </w:r>
      <w:r>
        <w:rPr>
          <w:rFonts w:hint="eastAsia"/>
          <w:sz w:val="24"/>
        </w:rPr>
        <w:t>锂离子电池电芯热参数测试仪测量重复性</w:t>
      </w:r>
      <w:r>
        <w:rPr>
          <w:sz w:val="24"/>
        </w:rPr>
        <w:t>引入的不确定度分量</w:t>
      </w:r>
    </w:p>
    <w:p w14:paraId="2FABAFC2">
      <w:pPr>
        <w:spacing w:line="360" w:lineRule="auto"/>
        <w:ind w:firstLine="480" w:firstLineChars="200"/>
        <w:rPr>
          <w:sz w:val="24"/>
        </w:rPr>
      </w:pPr>
      <w:r>
        <w:rPr>
          <w:sz w:val="24"/>
        </w:rPr>
        <w:t>对</w:t>
      </w:r>
      <w:r>
        <w:rPr>
          <w:rFonts w:hint="eastAsia"/>
          <w:sz w:val="24"/>
        </w:rPr>
        <w:t>自放热检测灵敏度</w:t>
      </w:r>
      <w:r>
        <w:rPr>
          <w:sz w:val="24"/>
        </w:rPr>
        <w:t>进行3次测量试验，三次</w:t>
      </w:r>
      <w:r>
        <w:rPr>
          <w:rFonts w:hint="eastAsia"/>
          <w:sz w:val="24"/>
        </w:rPr>
        <w:t>测量偏差</w:t>
      </w:r>
      <w:r>
        <w:rPr>
          <w:sz w:val="24"/>
        </w:rPr>
        <w:t>分别为:</w:t>
      </w:r>
      <w:r>
        <w:t xml:space="preserve"> </w:t>
      </w:r>
      <w:r>
        <w:rPr>
          <w:sz w:val="24"/>
        </w:rPr>
        <w:t>0.</w:t>
      </w:r>
      <w:r>
        <w:rPr>
          <w:rFonts w:hint="eastAsia"/>
          <w:sz w:val="24"/>
        </w:rPr>
        <w:t>00322</w:t>
      </w:r>
      <w:r>
        <w:rPr>
          <w:sz w:val="24"/>
        </w:rPr>
        <w:t>℃</w:t>
      </w:r>
      <w:r>
        <w:rPr>
          <w:rFonts w:hint="eastAsia"/>
          <w:sz w:val="24"/>
        </w:rPr>
        <w:t>/min，</w:t>
      </w:r>
      <w:r>
        <w:rPr>
          <w:sz w:val="24"/>
        </w:rPr>
        <w:t>0.</w:t>
      </w:r>
      <w:r>
        <w:rPr>
          <w:rFonts w:hint="eastAsia"/>
          <w:sz w:val="24"/>
        </w:rPr>
        <w:t>00228</w:t>
      </w:r>
      <w:r>
        <w:rPr>
          <w:sz w:val="24"/>
        </w:rPr>
        <w:t>℃</w:t>
      </w:r>
      <w:r>
        <w:rPr>
          <w:rFonts w:hint="eastAsia"/>
          <w:sz w:val="24"/>
        </w:rPr>
        <w:t>/min</w:t>
      </w:r>
      <w:r>
        <w:rPr>
          <w:sz w:val="24"/>
        </w:rPr>
        <w:t>, 0.</w:t>
      </w:r>
      <w:r>
        <w:rPr>
          <w:rFonts w:hint="eastAsia"/>
          <w:sz w:val="24"/>
        </w:rPr>
        <w:t>00297</w:t>
      </w:r>
      <w:r>
        <w:rPr>
          <w:sz w:val="24"/>
        </w:rPr>
        <w:t>℃</w:t>
      </w:r>
      <w:r>
        <w:rPr>
          <w:rFonts w:hint="eastAsia"/>
          <w:sz w:val="24"/>
        </w:rPr>
        <w:t>/min。</w:t>
      </w:r>
    </w:p>
    <w:p w14:paraId="6E11D40A">
      <w:pPr>
        <w:spacing w:beforeLines="50" w:line="360" w:lineRule="auto"/>
        <w:ind w:firstLine="471"/>
      </w:pPr>
      <w:r>
        <w:t>其算术平均值</w:t>
      </w:r>
      <w:r>
        <w:rPr>
          <w:rFonts w:hint="eastAsia"/>
        </w:rPr>
        <w:t xml:space="preserve">  </w:t>
      </w:r>
      <m:oMath>
        <m:acc>
          <m:accPr>
            <m:chr m:val="̅"/>
            <m:ctrlPr>
              <w:rPr>
                <w:rFonts w:ascii="Cambria Math" w:hAnsi="Cambria Math" w:eastAsia="Cambria Math"/>
                <w:i/>
              </w:rPr>
            </m:ctrlPr>
          </m:accPr>
          <m:e>
            <m:r>
              <m:rPr/>
              <w:rPr>
                <w:rFonts w:ascii="Cambria Math" w:hAnsi="Cambria Math"/>
                <w:sz w:val="24"/>
              </w:rPr>
              <m:t>ϵ</m:t>
            </m:r>
            <m:ctrlPr>
              <w:rPr>
                <w:rFonts w:ascii="Cambria Math" w:hAnsi="Cambria Math" w:eastAsia="Cambria Math"/>
                <w:i/>
              </w:rPr>
            </m:ctrlPr>
          </m:e>
        </m:acc>
        <m:r>
          <m:rPr>
            <m:sty m:val="p"/>
          </m:rPr>
          <w:rPr>
            <w:rFonts w:ascii="Cambria Math" w:hAnsi="Cambria Math" w:eastAsia="Cambria Math"/>
          </w:rPr>
          <m:t>=</m:t>
        </m:r>
        <m:f>
          <m:fPr>
            <m:ctrlPr>
              <w:rPr>
                <w:rFonts w:ascii="Cambria Math" w:hAnsi="Cambria Math" w:eastAsia="Cambria Math"/>
              </w:rPr>
            </m:ctrlPr>
          </m:fPr>
          <m:num>
            <m:r>
              <m:rPr>
                <m:sty m:val="p"/>
              </m:rPr>
              <w:rPr>
                <w:rFonts w:ascii="Cambria Math" w:hAnsi="Cambria Math" w:eastAsia="Cambria Math"/>
              </w:rPr>
              <m:t>1</m:t>
            </m:r>
            <m:ctrlPr>
              <w:rPr>
                <w:rFonts w:ascii="Cambria Math" w:hAnsi="Cambria Math" w:eastAsia="Cambria Math"/>
              </w:rPr>
            </m:ctrlPr>
          </m:num>
          <m:den>
            <m:r>
              <m:rPr/>
              <w:rPr>
                <w:rFonts w:ascii="Cambria Math" w:hAnsi="Cambria Math" w:eastAsiaTheme="minorEastAsia"/>
              </w:rPr>
              <m:t>n</m:t>
            </m:r>
            <m:ctrlPr>
              <w:rPr>
                <w:rFonts w:ascii="Cambria Math" w:hAnsi="Cambria Math" w:eastAsia="Cambria Math"/>
              </w:rPr>
            </m:ctrlPr>
          </m:den>
        </m:f>
        <m:nary>
          <m:naryPr>
            <m:chr m:val="∑"/>
            <m:limLoc m:val="undOvr"/>
            <m:ctrlPr>
              <w:rPr>
                <w:rFonts w:ascii="Cambria Math" w:hAnsi="Cambria Math" w:eastAsia="Cambria Math"/>
                <w:i/>
              </w:rPr>
            </m:ctrlPr>
          </m:naryPr>
          <m:sub>
            <m:r>
              <m:rPr/>
              <w:rPr>
                <w:rFonts w:ascii="Cambria Math" w:hAnsi="Cambria Math" w:eastAsia="Cambria Math"/>
              </w:rPr>
              <m:t>i</m:t>
            </m:r>
            <m:r>
              <m:rPr/>
              <w:rPr>
                <w:rFonts w:ascii="Cambria Math" w:hAnsi="Cambria Math" w:eastAsiaTheme="minorEastAsia"/>
              </w:rPr>
              <m:t>=1</m:t>
            </m:r>
            <m:ctrlPr>
              <w:rPr>
                <w:rFonts w:ascii="Cambria Math" w:hAnsi="Cambria Math" w:eastAsia="Cambria Math"/>
                <w:i/>
              </w:rPr>
            </m:ctrlPr>
          </m:sub>
          <m:sup>
            <m:r>
              <m:rPr/>
              <w:rPr>
                <w:rFonts w:ascii="Cambria Math" w:hAnsi="Cambria Math" w:eastAsia="Cambria Math"/>
              </w:rPr>
              <m:t>n</m:t>
            </m:r>
            <m:ctrlPr>
              <w:rPr>
                <w:rFonts w:ascii="Cambria Math" w:hAnsi="Cambria Math" w:eastAsia="Cambria Math"/>
                <w:i/>
              </w:rPr>
            </m:ctrlPr>
          </m:sup>
          <m:e>
            <m:sSub>
              <m:sSubPr>
                <m:ctrlPr>
                  <w:rPr>
                    <w:rFonts w:ascii="Cambria Math" w:hAnsi="Cambria Math" w:eastAsia="Cambria Math"/>
                    <w:i/>
                  </w:rPr>
                </m:ctrlPr>
              </m:sSubPr>
              <m:e>
                <m:r>
                  <m:rPr/>
                  <w:rPr>
                    <w:rFonts w:ascii="Cambria Math" w:hAnsi="Cambria Math"/>
                    <w:sz w:val="24"/>
                  </w:rPr>
                  <m:t>ϵ</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ctrlPr>
              <w:rPr>
                <w:rFonts w:ascii="Cambria Math" w:hAnsi="Cambria Math" w:eastAsia="Cambria Math"/>
                <w:i/>
              </w:rPr>
            </m:ctrlPr>
          </m:e>
        </m:nary>
      </m:oMath>
      <w:r>
        <w:rPr>
          <w:rFonts w:hint="eastAsia"/>
        </w:rPr>
        <w:t xml:space="preserve"> </w:t>
      </w:r>
      <w:r>
        <w:t>=</w:t>
      </w:r>
      <w:r>
        <w:rPr>
          <w:sz w:val="24"/>
        </w:rPr>
        <w:t>0.</w:t>
      </w:r>
      <w:r>
        <w:rPr>
          <w:rFonts w:hint="eastAsia"/>
          <w:sz w:val="24"/>
        </w:rPr>
        <w:t>00282</w:t>
      </w:r>
      <w:r>
        <w:rPr>
          <w:sz w:val="24"/>
        </w:rPr>
        <w:t>℃</w:t>
      </w:r>
      <w:r>
        <w:rPr>
          <w:rFonts w:hint="eastAsia"/>
          <w:sz w:val="24"/>
        </w:rPr>
        <w:t>/min</w:t>
      </w:r>
    </w:p>
    <w:p w14:paraId="729330A7">
      <w:pPr>
        <w:spacing w:line="360" w:lineRule="auto"/>
        <w:ind w:firstLine="420" w:firstLineChars="200"/>
      </w:pPr>
      <w:r>
        <w:t xml:space="preserve">单次实验标准差为： </w:t>
      </w:r>
    </w:p>
    <w:p w14:paraId="11B680E9">
      <w:pPr>
        <w:spacing w:line="360" w:lineRule="auto"/>
        <w:ind w:firstLine="630"/>
      </w:pPr>
      <w:r>
        <w:rPr>
          <w:position w:val="-26"/>
        </w:rPr>
        <w:object>
          <v:shape id="_x0000_i1053" o:spt="75" type="#_x0000_t75" style="height:51.75pt;width:87pt;" o:ole="t" filled="f" o:preferrelative="t" stroked="f" coordsize="21600,21600">
            <v:path/>
            <v:fill on="f" focussize="0,0"/>
            <v:stroke on="f" joinstyle="miter"/>
            <v:imagedata r:id="rId46" o:title=""/>
            <o:lock v:ext="edit" aspectratio="t"/>
            <w10:wrap type="none"/>
            <w10:anchorlock/>
          </v:shape>
          <o:OLEObject Type="Embed" ProgID="Equation.3" ShapeID="_x0000_i1053" DrawAspect="Content" ObjectID="_1468075753" r:id="rId73">
            <o:LockedField>false</o:LockedField>
          </o:OLEObject>
        </w:object>
      </w:r>
      <w:r>
        <w:t>=</w:t>
      </w:r>
      <w:r>
        <w:rPr>
          <w:sz w:val="24"/>
        </w:rPr>
        <w:t>0.</w:t>
      </w:r>
      <w:r>
        <w:rPr>
          <w:rFonts w:hint="eastAsia"/>
          <w:sz w:val="24"/>
        </w:rPr>
        <w:t>00049</w:t>
      </w:r>
      <w:r>
        <w:rPr>
          <w:sz w:val="24"/>
        </w:rPr>
        <w:t>℃</w:t>
      </w:r>
      <w:r>
        <w:rPr>
          <w:rFonts w:hint="eastAsia"/>
          <w:sz w:val="24"/>
        </w:rPr>
        <w:t>/min</w:t>
      </w:r>
    </w:p>
    <w:p w14:paraId="7B813C9C">
      <w:pPr>
        <w:spacing w:line="360" w:lineRule="auto"/>
        <w:ind w:firstLine="480" w:firstLineChars="200"/>
        <w:rPr>
          <w:sz w:val="24"/>
        </w:rPr>
      </w:pPr>
      <w:r>
        <w:rPr>
          <w:sz w:val="24"/>
        </w:rPr>
        <w:t>所以，</w:t>
      </w:r>
      <w:r>
        <w:rPr>
          <w:rFonts w:hint="eastAsia"/>
          <w:sz w:val="24"/>
        </w:rPr>
        <w:t>锂离子电池电芯热参数测试仪测量重复性</w:t>
      </w:r>
      <w:r>
        <w:rPr>
          <w:sz w:val="24"/>
        </w:rPr>
        <w:t>引入的不确定度分量：</w:t>
      </w:r>
    </w:p>
    <w:p w14:paraId="60A04F1A">
      <w:pPr>
        <w:spacing w:line="360" w:lineRule="auto"/>
        <w:ind w:firstLine="630"/>
        <w:jc w:val="center"/>
      </w:pPr>
      <m:oMath>
        <m:r>
          <m:rPr/>
          <w:rPr>
            <w:rFonts w:hint="eastAsia" w:ascii="Cambria Math" w:hAnsi="Cambria Math" w:eastAsiaTheme="minorEastAsia"/>
          </w:rPr>
          <m:t>u</m:t>
        </m:r>
        <m:r>
          <m:rPr/>
          <w:rPr>
            <w:rFonts w:ascii="Cambria Math" w:hAnsi="Cambria Math" w:eastAsiaTheme="minorEastAsia"/>
          </w:rPr>
          <m:t>(</m:t>
        </m:r>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ascii="Cambria Math" w:hAnsi="Cambria Math"/>
                <w:sz w:val="24"/>
              </w:rPr>
              <m:t>m</m:t>
            </m:r>
            <m:ctrlPr>
              <w:rPr>
                <w:rFonts w:ascii="Cambria Math" w:hAnsi="Cambria Math"/>
                <w:i/>
                <w:iCs/>
                <w:sz w:val="24"/>
              </w:rPr>
            </m:ctrlPr>
          </m:sub>
        </m:sSub>
        <m:r>
          <m:rPr/>
          <w:rPr>
            <w:rFonts w:ascii="Cambria Math" w:hAnsi="Cambria Math" w:eastAsiaTheme="minorEastAsia"/>
          </w:rPr>
          <m:t>)</m:t>
        </m:r>
      </m:oMath>
      <w:r>
        <w:rPr>
          <w:rFonts w:hint="eastAsia"/>
        </w:rPr>
        <w:t>=</w:t>
      </w:r>
      <w:r>
        <w:rPr>
          <w:sz w:val="24"/>
        </w:rPr>
        <w:t>0.</w:t>
      </w:r>
      <w:r>
        <w:rPr>
          <w:rFonts w:hint="eastAsia"/>
          <w:sz w:val="24"/>
        </w:rPr>
        <w:t>00049</w:t>
      </w:r>
      <w:r>
        <w:rPr>
          <w:sz w:val="24"/>
        </w:rPr>
        <w:t>℃</w:t>
      </w:r>
      <w:r>
        <w:rPr>
          <w:rFonts w:hint="eastAsia"/>
          <w:sz w:val="24"/>
        </w:rPr>
        <w:t>/min</w:t>
      </w:r>
    </w:p>
    <w:p w14:paraId="476839AF">
      <w:pPr>
        <w:spacing w:line="360" w:lineRule="auto"/>
        <w:jc w:val="left"/>
        <w:rPr>
          <w:spacing w:val="2"/>
          <w:kern w:val="21"/>
          <w:sz w:val="24"/>
        </w:rPr>
      </w:pPr>
      <w:r>
        <w:rPr>
          <w:spacing w:val="2"/>
          <w:kern w:val="21"/>
          <w:sz w:val="24"/>
        </w:rPr>
        <w:t>A.4.2　</w:t>
      </w:r>
      <w:r>
        <w:rPr>
          <w:sz w:val="24"/>
        </w:rPr>
        <w:t>标准电功率</w:t>
      </w:r>
      <w:r>
        <w:rPr>
          <w:rFonts w:hint="eastAsia"/>
          <w:sz w:val="24"/>
        </w:rPr>
        <w:t>校准方法</w:t>
      </w:r>
      <w:r>
        <w:rPr>
          <w:sz w:val="24"/>
        </w:rPr>
        <w:t>引入的不确定度分量</w:t>
      </w:r>
    </w:p>
    <w:p w14:paraId="26B64C0C">
      <w:pPr>
        <w:spacing w:line="360" w:lineRule="auto"/>
        <w:ind w:firstLine="480" w:firstLineChars="200"/>
        <w:jc w:val="left"/>
        <w:rPr>
          <w:sz w:val="24"/>
        </w:rPr>
      </w:pPr>
      <w:r>
        <w:rPr>
          <w:sz w:val="24"/>
        </w:rPr>
        <w:t>标准电功率</w:t>
      </w:r>
      <w:r>
        <w:rPr>
          <w:rFonts w:hint="eastAsia"/>
          <w:sz w:val="24"/>
        </w:rPr>
        <w:t>校准方法</w:t>
      </w:r>
      <w:r>
        <w:rPr>
          <w:sz w:val="24"/>
        </w:rPr>
        <w:t>引入的不确定度分量可写为：</w:t>
      </w:r>
    </w:p>
    <w:p w14:paraId="06B91FD9">
      <w:pPr>
        <w:snapToGrid w:val="0"/>
        <w:spacing w:line="360" w:lineRule="auto"/>
        <w:ind w:firstLine="840" w:firstLineChars="400"/>
        <w:jc w:val="left"/>
        <w:rPr>
          <w:sz w:val="24"/>
        </w:rPr>
      </w:pPr>
      <w:r>
        <w:tab/>
      </w:r>
      <m:oMath>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sSub>
              <m:sSubPr>
                <m:ctrlPr>
                  <w:rPr>
                    <w:rFonts w:ascii="Cambria Math" w:hAnsi="Cambria Math"/>
                    <w:i/>
                    <w:iCs/>
                    <w:szCs w:val="21"/>
                  </w:rPr>
                </m:ctrlPr>
              </m:sSubPr>
              <m:e>
                <m:r>
                  <m:rPr/>
                  <w:rPr>
                    <w:rFonts w:ascii="Cambria Math" w:hAnsi="Cambria Math"/>
                    <w:szCs w:val="21"/>
                  </w:rPr>
                  <m:t>v</m:t>
                </m:r>
                <m:ctrlPr>
                  <w:rPr>
                    <w:rFonts w:ascii="Cambria Math" w:hAnsi="Cambria Math"/>
                    <w:i/>
                    <w:iCs/>
                    <w:szCs w:val="21"/>
                  </w:rPr>
                </m:ctrlPr>
              </m:e>
              <m:sub>
                <m:r>
                  <m:rPr/>
                  <w:rPr>
                    <w:rFonts w:hint="eastAsia" w:ascii="Cambria Math" w:hAnsi="Cambria Math"/>
                    <w:szCs w:val="21"/>
                  </w:rPr>
                  <m:t>s</m:t>
                </m:r>
                <m:ctrlPr>
                  <w:rPr>
                    <w:rFonts w:ascii="Cambria Math" w:hAnsi="Cambria Math"/>
                    <w:i/>
                    <w:iCs/>
                    <w:szCs w:val="21"/>
                  </w:rPr>
                </m:ctrlPr>
              </m:sub>
            </m:sSub>
            <m:ctrlPr>
              <w:rPr>
                <w:rFonts w:ascii="Cambria Math" w:hAnsi="Cambria Math" w:eastAsiaTheme="minorEastAsia"/>
                <w:i/>
                <w:sz w:val="18"/>
                <w:szCs w:val="21"/>
              </w:rPr>
            </m:ctrlPr>
          </m:e>
        </m:d>
        <m:r>
          <m:rPr/>
          <w:rPr>
            <w:rFonts w:ascii="Cambria Math" w:hAnsi="Cambria Math" w:eastAsiaTheme="minorEastAsia"/>
            <w:sz w:val="18"/>
            <w:szCs w:val="21"/>
          </w:rPr>
          <m:t>=60∗</m:t>
        </m:r>
        <m:rad>
          <m:radPr>
            <m:degHide m:val="1"/>
            <m:ctrlPr>
              <w:rPr>
                <w:rFonts w:ascii="Cambria Math" w:hAnsi="Cambria Math" w:eastAsiaTheme="minorEastAsia"/>
                <w:i/>
                <w:sz w:val="18"/>
                <w:szCs w:val="21"/>
              </w:rPr>
            </m:ctrlPr>
          </m:radPr>
          <m:deg>
            <m:ctrlPr>
              <w:rPr>
                <w:rFonts w:ascii="Cambria Math" w:hAnsi="Cambria Math" w:eastAsiaTheme="minorEastAsia"/>
                <w:i/>
                <w:sz w:val="18"/>
                <w:szCs w:val="21"/>
              </w:rPr>
            </m:ctrlPr>
          </m:deg>
          <m:e>
            <m:sSup>
              <m:sSupPr>
                <m:ctrlPr>
                  <w:rPr>
                    <w:rFonts w:ascii="Cambria Math" w:hAnsi="Cambria Math"/>
                    <w:i/>
                    <w:iCs/>
                    <w:szCs w:val="21"/>
                  </w:rPr>
                </m:ctrlPr>
              </m:sSupPr>
              <m:e>
                <m:r>
                  <m:rP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r>
                      <m:rPr/>
                      <w:rPr>
                        <w:rFonts w:ascii="Cambria Math" w:hAnsi="Cambria Math"/>
                        <w:szCs w:val="21"/>
                      </w:rPr>
                      <m:t>∗m</m:t>
                    </m:r>
                    <m:ctrlPr>
                      <w:rPr>
                        <w:rFonts w:ascii="Cambria Math" w:hAnsi="Cambria Math"/>
                        <w:i/>
                        <w:iCs/>
                        <w:szCs w:val="21"/>
                      </w:rPr>
                    </m:ctrlPr>
                  </m:den>
                </m:f>
                <m:r>
                  <m:rPr/>
                  <w:rPr>
                    <w:rFonts w:ascii="Cambria Math" w:hAnsi="Cambria Math"/>
                    <w:szCs w:val="21"/>
                  </w:rPr>
                  <m:t>)</m:t>
                </m:r>
                <m:ctrlPr>
                  <w:rPr>
                    <w:rFonts w:ascii="Cambria Math" w:hAnsi="Cambria Math"/>
                    <w:i/>
                    <w:iCs/>
                    <w:szCs w:val="21"/>
                  </w:rPr>
                </m:ctrlPr>
              </m:e>
              <m:sup>
                <m:r>
                  <m:rPr/>
                  <w:rPr>
                    <w:rFonts w:ascii="Cambria Math" w:hAnsi="Cambria Math"/>
                    <w:szCs w:val="21"/>
                  </w:rPr>
                  <m:t>2</m:t>
                </m:r>
                <m:ctrlPr>
                  <w:rPr>
                    <w:rFonts w:ascii="Cambria Math" w:hAnsi="Cambria Math"/>
                    <w:i/>
                    <w:iCs/>
                    <w:szCs w:val="21"/>
                  </w:rPr>
                </m:ctrlPr>
              </m:sup>
            </m:sSup>
            <m:sSup>
              <m:sSupPr>
                <m:ctrlPr>
                  <w:rPr>
                    <w:rFonts w:hint="eastAsia" w:ascii="Cambria Math" w:hAnsi="Cambria Math"/>
                    <w:i/>
                    <w:sz w:val="18"/>
                    <w:szCs w:val="21"/>
                  </w:rPr>
                </m:ctrlPr>
              </m:sSupPr>
              <m:e>
                <m:r>
                  <m:rPr/>
                  <w:rPr>
                    <w:rFonts w:hint="eastAsia" w:ascii="Cambria Math" w:hAnsi="Cambria Math" w:eastAsiaTheme="minorEastAsia"/>
                    <w:sz w:val="18"/>
                    <w:szCs w:val="21"/>
                  </w:rPr>
                  <m:t>u</m:t>
                </m:r>
                <m:ctrlPr>
                  <w:rPr>
                    <w:rFonts w:ascii="Cambria Math" w:hAnsi="Cambria Math"/>
                    <w:i/>
                    <w:sz w:val="18"/>
                    <w:szCs w:val="21"/>
                  </w:rPr>
                </m:ctrlPr>
              </m:e>
              <m:sup>
                <m:r>
                  <m:rPr/>
                  <w:rPr>
                    <w:rFonts w:ascii="Cambria Math" w:hAnsi="Cambria Math" w:eastAsiaTheme="minorEastAsia"/>
                    <w:sz w:val="18"/>
                    <w:szCs w:val="21"/>
                  </w:rPr>
                  <m:t>2</m:t>
                </m:r>
                <m:ctrlPr>
                  <w:rPr>
                    <w:rFonts w:ascii="Cambria Math" w:hAnsi="Cambria Math"/>
                    <w:i/>
                    <w:sz w:val="18"/>
                    <w:szCs w:val="21"/>
                  </w:rPr>
                </m:ctrlPr>
              </m:sup>
            </m:sSup>
            <m:d>
              <m:dPr>
                <m:ctrlPr>
                  <w:rPr>
                    <w:rFonts w:ascii="Cambria Math" w:hAnsi="Cambria Math" w:eastAsiaTheme="minorEastAsia"/>
                    <w:i/>
                    <w:sz w:val="18"/>
                    <w:szCs w:val="21"/>
                  </w:rPr>
                </m:ctrlPr>
              </m:dPr>
              <m:e>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eastAsiaTheme="minorEastAsia"/>
                    <w:i/>
                    <w:sz w:val="18"/>
                    <w:szCs w:val="21"/>
                  </w:rPr>
                </m:ctrlPr>
              </m:e>
            </m:d>
            <m:r>
              <m:rPr/>
              <w:rPr>
                <w:rFonts w:ascii="Cambria Math" w:hAnsi="Cambria Math" w:eastAsiaTheme="minorEastAsia"/>
                <w:sz w:val="18"/>
                <w:szCs w:val="21"/>
              </w:rPr>
              <m:t>+</m:t>
            </m:r>
            <m:sSup>
              <m:sSupPr>
                <m:ctrlPr>
                  <w:rPr>
                    <w:rFonts w:hint="eastAsia" w:ascii="Cambria Math" w:hAnsi="Cambria Math"/>
                    <w:i/>
                    <w:sz w:val="18"/>
                    <w:szCs w:val="21"/>
                  </w:rPr>
                </m:ctrlPr>
              </m:sSupPr>
              <m:e>
                <m:sSup>
                  <m:sSupPr>
                    <m:ctrlPr>
                      <w:rPr>
                        <w:rFonts w:ascii="Cambria Math" w:hAnsi="Cambria Math"/>
                        <w:i/>
                        <w:iCs/>
                        <w:szCs w:val="21"/>
                      </w:rPr>
                    </m:ctrlPr>
                  </m:sSupPr>
                  <m:e>
                    <m:d>
                      <m:dPr>
                        <m:ctrlPr>
                          <w:rPr>
                            <w:rFonts w:ascii="Cambria Math" w:hAnsi="Cambria Math"/>
                            <w:i/>
                            <w:iCs/>
                            <w:szCs w:val="21"/>
                          </w:rPr>
                        </m:ctrlPr>
                      </m:dPr>
                      <m:e>
                        <m:f>
                          <m:fPr>
                            <m:ctrlPr>
                              <w:rPr>
                                <w:rFonts w:ascii="Cambria Math" w:hAnsi="Cambria Math"/>
                                <w:i/>
                                <w:iCs/>
                                <w:szCs w:val="21"/>
                              </w:rPr>
                            </m:ctrlPr>
                          </m:fPr>
                          <m:num>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r>
                              <m:rPr/>
                              <w:rPr>
                                <w:rFonts w:ascii="Cambria Math" w:hAnsi="Cambria Math"/>
                                <w:szCs w:val="21"/>
                              </w:rPr>
                              <m:t>∗m</m:t>
                            </m:r>
                            <m:ctrlPr>
                              <w:rPr>
                                <w:rFonts w:ascii="Cambria Math" w:hAnsi="Cambria Math"/>
                                <w:i/>
                                <w:iCs/>
                                <w:szCs w:val="21"/>
                              </w:rPr>
                            </m:ctrlPr>
                          </m:den>
                        </m:f>
                        <m:ctrlPr>
                          <w:rPr>
                            <w:rFonts w:ascii="Cambria Math" w:hAnsi="Cambria Math"/>
                            <w:i/>
                            <w:iCs/>
                            <w:szCs w:val="21"/>
                          </w:rPr>
                        </m:ctrlPr>
                      </m:e>
                    </m:d>
                    <m:ctrlPr>
                      <w:rPr>
                        <w:rFonts w:ascii="Cambria Math" w:hAnsi="Cambria Math"/>
                        <w:i/>
                        <w:iCs/>
                        <w:szCs w:val="21"/>
                      </w:rPr>
                    </m:ctrlPr>
                  </m:e>
                  <m:sup>
                    <m:r>
                      <m:rPr/>
                      <w:rPr>
                        <w:rFonts w:ascii="Cambria Math" w:hAnsi="Cambria Math"/>
                        <w:szCs w:val="21"/>
                      </w:rPr>
                      <m:t>2</m:t>
                    </m:r>
                    <m:ctrlPr>
                      <w:rPr>
                        <w:rFonts w:ascii="Cambria Math" w:hAnsi="Cambria Math"/>
                        <w:i/>
                        <w:iCs/>
                        <w:szCs w:val="21"/>
                      </w:rPr>
                    </m:ctrlPr>
                  </m:sup>
                </m:sSup>
                <m:r>
                  <m:rPr/>
                  <w:rPr>
                    <w:rFonts w:hint="eastAsia" w:ascii="Cambria Math" w:hAnsi="Cambria Math" w:eastAsiaTheme="minorEastAsia"/>
                    <w:sz w:val="18"/>
                    <w:szCs w:val="21"/>
                  </w:rPr>
                  <m:t>u</m:t>
                </m:r>
                <m:ctrlPr>
                  <w:rPr>
                    <w:rFonts w:ascii="Cambria Math" w:hAnsi="Cambria Math"/>
                    <w:i/>
                    <w:sz w:val="18"/>
                    <w:szCs w:val="21"/>
                  </w:rPr>
                </m:ctrlPr>
              </m:e>
              <m:sup>
                <m:r>
                  <m:rPr/>
                  <w:rPr>
                    <w:rFonts w:ascii="Cambria Math" w:hAnsi="Cambria Math" w:eastAsiaTheme="minorEastAsia"/>
                    <w:sz w:val="18"/>
                    <w:szCs w:val="21"/>
                  </w:rPr>
                  <m:t>2</m:t>
                </m:r>
                <m:ctrlPr>
                  <w:rPr>
                    <w:rFonts w:ascii="Cambria Math" w:hAnsi="Cambria Math"/>
                    <w:i/>
                    <w:sz w:val="18"/>
                    <w:szCs w:val="21"/>
                  </w:rPr>
                </m:ctrlPr>
              </m:sup>
            </m:sSup>
            <m:d>
              <m:dPr>
                <m:ctrlPr>
                  <w:rPr>
                    <w:rFonts w:ascii="Cambria Math" w:hAnsi="Cambria Math" w:eastAsiaTheme="minorEastAsia"/>
                    <w:i/>
                    <w:sz w:val="18"/>
                    <w:szCs w:val="21"/>
                  </w:rPr>
                </m:ctrlPr>
              </m:dPr>
              <m:e>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e>
            </m:d>
            <m:r>
              <m:rPr/>
              <w:rPr>
                <w:rFonts w:ascii="Cambria Math" w:hAnsi="Cambria Math"/>
                <w:szCs w:val="21"/>
              </w:rPr>
              <m:t>+</m:t>
            </m:r>
            <m:sSup>
              <m:sSupPr>
                <m:ctrlPr>
                  <w:rPr>
                    <w:rFonts w:ascii="Cambria Math" w:hAnsi="Cambria Math"/>
                    <w:i/>
                    <w:iCs/>
                    <w:szCs w:val="21"/>
                  </w:rPr>
                </m:ctrlPr>
              </m:sSupPr>
              <m:e>
                <m:r>
                  <m:rP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p>
                      <m:sSupPr>
                        <m:ctrlPr>
                          <w:rPr>
                            <w:rFonts w:ascii="Cambria Math" w:hAnsi="Cambria Math"/>
                            <w:i/>
                            <w:iCs/>
                            <w:szCs w:val="21"/>
                          </w:rPr>
                        </m:ctrlPr>
                      </m:sSupPr>
                      <m:e>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ctrlPr>
                          <w:rPr>
                            <w:rFonts w:ascii="Cambria Math" w:hAnsi="Cambria Math"/>
                            <w:i/>
                            <w:iCs/>
                            <w:szCs w:val="21"/>
                          </w:rPr>
                        </m:ctrlPr>
                      </m:e>
                      <m:sup>
                        <m:r>
                          <m:rPr/>
                          <w:rPr>
                            <w:rFonts w:ascii="Cambria Math" w:hAnsi="Cambria Math"/>
                            <w:szCs w:val="21"/>
                          </w:rPr>
                          <m:t>2</m:t>
                        </m:r>
                        <m:ctrlPr>
                          <w:rPr>
                            <w:rFonts w:ascii="Cambria Math" w:hAnsi="Cambria Math"/>
                            <w:i/>
                            <w:iCs/>
                            <w:szCs w:val="21"/>
                          </w:rPr>
                        </m:ctrlPr>
                      </m:sup>
                    </m:sSup>
                    <m:r>
                      <m:rPr/>
                      <w:rPr>
                        <w:rFonts w:ascii="Cambria Math" w:hAnsi="Cambria Math"/>
                        <w:szCs w:val="21"/>
                      </w:rPr>
                      <m:t>m</m:t>
                    </m:r>
                    <m:ctrlPr>
                      <w:rPr>
                        <w:rFonts w:ascii="Cambria Math" w:hAnsi="Cambria Math"/>
                        <w:i/>
                        <w:iCs/>
                        <w:szCs w:val="21"/>
                      </w:rPr>
                    </m:ctrlPr>
                  </m:den>
                </m:f>
                <m:r>
                  <m:rPr/>
                  <w:rPr>
                    <w:rFonts w:ascii="Cambria Math" w:hAnsi="Cambria Math"/>
                    <w:szCs w:val="21"/>
                  </w:rPr>
                  <m:t>)</m:t>
                </m:r>
                <m:ctrlPr>
                  <w:rPr>
                    <w:rFonts w:ascii="Cambria Math" w:hAnsi="Cambria Math"/>
                    <w:i/>
                    <w:iCs/>
                    <w:szCs w:val="21"/>
                  </w:rPr>
                </m:ctrlPr>
              </m:e>
              <m:sup>
                <m:r>
                  <m:rPr/>
                  <w:rPr>
                    <w:rFonts w:ascii="Cambria Math" w:hAnsi="Cambria Math"/>
                    <w:szCs w:val="21"/>
                  </w:rPr>
                  <m:t>2</m:t>
                </m:r>
                <m:ctrlPr>
                  <w:rPr>
                    <w:rFonts w:ascii="Cambria Math" w:hAnsi="Cambria Math"/>
                    <w:i/>
                    <w:iCs/>
                    <w:szCs w:val="21"/>
                  </w:rPr>
                </m:ctrlPr>
              </m:sup>
            </m:sSup>
            <m:sSup>
              <m:sSupPr>
                <m:ctrlPr>
                  <w:rPr>
                    <w:rFonts w:hint="eastAsia" w:ascii="Cambria Math" w:hAnsi="Cambria Math"/>
                    <w:i/>
                    <w:sz w:val="18"/>
                    <w:szCs w:val="21"/>
                  </w:rPr>
                </m:ctrlPr>
              </m:sSupPr>
              <m:e>
                <m:r>
                  <m:rPr/>
                  <w:rPr>
                    <w:rFonts w:hint="eastAsia" w:ascii="Cambria Math" w:hAnsi="Cambria Math" w:eastAsiaTheme="minorEastAsia"/>
                    <w:sz w:val="18"/>
                    <w:szCs w:val="21"/>
                  </w:rPr>
                  <m:t>u</m:t>
                </m:r>
                <m:ctrlPr>
                  <w:rPr>
                    <w:rFonts w:ascii="Cambria Math" w:hAnsi="Cambria Math"/>
                    <w:i/>
                    <w:sz w:val="18"/>
                    <w:szCs w:val="21"/>
                  </w:rPr>
                </m:ctrlPr>
              </m:e>
              <m:sup>
                <m:r>
                  <m:rPr/>
                  <w:rPr>
                    <w:rFonts w:ascii="Cambria Math" w:hAnsi="Cambria Math" w:eastAsiaTheme="minorEastAsia"/>
                    <w:sz w:val="18"/>
                    <w:szCs w:val="21"/>
                  </w:rPr>
                  <m:t>2</m:t>
                </m:r>
                <m:ctrlPr>
                  <w:rPr>
                    <w:rFonts w:ascii="Cambria Math" w:hAnsi="Cambria Math"/>
                    <w:i/>
                    <w:sz w:val="18"/>
                    <w:szCs w:val="21"/>
                  </w:rPr>
                </m:ctrlPr>
              </m:sup>
            </m:sSup>
            <m:d>
              <m:dPr>
                <m:ctrlPr>
                  <w:rPr>
                    <w:rFonts w:ascii="Cambria Math" w:hAnsi="Cambria Math" w:eastAsiaTheme="minorEastAsia"/>
                    <w:i/>
                    <w:sz w:val="18"/>
                    <w:szCs w:val="21"/>
                  </w:rPr>
                </m:ctrlPr>
              </m:dPr>
              <m:e>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ctrlPr>
                  <w:rPr>
                    <w:rFonts w:ascii="Cambria Math" w:hAnsi="Cambria Math" w:eastAsiaTheme="minorEastAsia"/>
                    <w:i/>
                    <w:sz w:val="18"/>
                    <w:szCs w:val="21"/>
                  </w:rPr>
                </m:ctrlPr>
              </m:e>
            </m:d>
            <m:r>
              <m:rPr/>
              <w:rPr>
                <w:rFonts w:ascii="Cambria Math" w:hAnsi="Cambria Math"/>
                <w:szCs w:val="21"/>
              </w:rPr>
              <m:t>+</m:t>
            </m:r>
            <m:sSup>
              <m:sSupPr>
                <m:ctrlPr>
                  <w:rPr>
                    <w:rFonts w:ascii="Cambria Math" w:hAnsi="Cambria Math"/>
                    <w:i/>
                    <w:iCs/>
                    <w:szCs w:val="21"/>
                  </w:rPr>
                </m:ctrlPr>
              </m:sSupPr>
              <m:e>
                <m:r>
                  <m:rP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sSup>
                      <m:sSupPr>
                        <m:ctrlPr>
                          <w:rPr>
                            <w:rFonts w:ascii="Cambria Math" w:hAnsi="Cambria Math"/>
                            <w:i/>
                            <w:iCs/>
                            <w:szCs w:val="21"/>
                          </w:rPr>
                        </m:ctrlPr>
                      </m:sSupPr>
                      <m:e>
                        <m:r>
                          <m:rPr/>
                          <w:rPr>
                            <w:rFonts w:ascii="Cambria Math" w:hAnsi="Cambria Math"/>
                            <w:szCs w:val="21"/>
                          </w:rPr>
                          <m:t>m</m:t>
                        </m:r>
                        <m:ctrlPr>
                          <w:rPr>
                            <w:rFonts w:ascii="Cambria Math" w:hAnsi="Cambria Math"/>
                            <w:i/>
                            <w:iCs/>
                            <w:szCs w:val="21"/>
                          </w:rPr>
                        </m:ctrlPr>
                      </m:e>
                      <m:sup>
                        <m:r>
                          <m:rPr/>
                          <w:rPr>
                            <w:rFonts w:ascii="Cambria Math" w:hAnsi="Cambria Math"/>
                            <w:szCs w:val="21"/>
                          </w:rPr>
                          <m:t>2</m:t>
                        </m:r>
                        <m:ctrlPr>
                          <w:rPr>
                            <w:rFonts w:ascii="Cambria Math" w:hAnsi="Cambria Math"/>
                            <w:i/>
                            <w:iCs/>
                            <w:szCs w:val="21"/>
                          </w:rPr>
                        </m:ctrlPr>
                      </m:sup>
                    </m:sSup>
                    <m:ctrlPr>
                      <w:rPr>
                        <w:rFonts w:ascii="Cambria Math" w:hAnsi="Cambria Math"/>
                        <w:i/>
                        <w:iCs/>
                        <w:szCs w:val="21"/>
                      </w:rPr>
                    </m:ctrlPr>
                  </m:den>
                </m:f>
                <m:r>
                  <m:rPr/>
                  <w:rPr>
                    <w:rFonts w:ascii="Cambria Math" w:hAnsi="Cambria Math"/>
                    <w:szCs w:val="21"/>
                  </w:rPr>
                  <m:t>)</m:t>
                </m:r>
                <m:ctrlPr>
                  <w:rPr>
                    <w:rFonts w:ascii="Cambria Math" w:hAnsi="Cambria Math"/>
                    <w:i/>
                    <w:iCs/>
                    <w:szCs w:val="21"/>
                  </w:rPr>
                </m:ctrlPr>
              </m:e>
              <m:sup>
                <m:r>
                  <m:rPr/>
                  <w:rPr>
                    <w:rFonts w:ascii="Cambria Math" w:hAnsi="Cambria Math"/>
                    <w:szCs w:val="21"/>
                  </w:rPr>
                  <m:t>2</m:t>
                </m:r>
                <m:ctrlPr>
                  <w:rPr>
                    <w:rFonts w:ascii="Cambria Math" w:hAnsi="Cambria Math"/>
                    <w:i/>
                    <w:iCs/>
                    <w:szCs w:val="21"/>
                  </w:rPr>
                </m:ctrlPr>
              </m:sup>
            </m:sSup>
            <m:sSup>
              <m:sSupPr>
                <m:ctrlPr>
                  <w:rPr>
                    <w:rFonts w:hint="eastAsia" w:ascii="Cambria Math" w:hAnsi="Cambria Math"/>
                    <w:i/>
                    <w:sz w:val="18"/>
                    <w:szCs w:val="21"/>
                  </w:rPr>
                </m:ctrlPr>
              </m:sSupPr>
              <m:e>
                <m:r>
                  <m:rPr/>
                  <w:rPr>
                    <w:rFonts w:hint="eastAsia" w:ascii="Cambria Math" w:hAnsi="Cambria Math" w:eastAsiaTheme="minorEastAsia"/>
                    <w:sz w:val="18"/>
                    <w:szCs w:val="21"/>
                  </w:rPr>
                  <m:t>u</m:t>
                </m:r>
                <m:ctrlPr>
                  <w:rPr>
                    <w:rFonts w:ascii="Cambria Math" w:hAnsi="Cambria Math"/>
                    <w:i/>
                    <w:sz w:val="18"/>
                    <w:szCs w:val="21"/>
                  </w:rPr>
                </m:ctrlPr>
              </m:e>
              <m:sup>
                <m:r>
                  <m:rPr/>
                  <w:rPr>
                    <w:rFonts w:ascii="Cambria Math" w:hAnsi="Cambria Math" w:eastAsiaTheme="minorEastAsia"/>
                    <w:sz w:val="18"/>
                    <w:szCs w:val="21"/>
                  </w:rPr>
                  <m:t>2</m:t>
                </m:r>
                <m:ctrlPr>
                  <w:rPr>
                    <w:rFonts w:ascii="Cambria Math" w:hAnsi="Cambria Math"/>
                    <w:i/>
                    <w:sz w:val="18"/>
                    <w:szCs w:val="21"/>
                  </w:rPr>
                </m:ctrlPr>
              </m:sup>
            </m:sSup>
            <m:d>
              <m:dPr>
                <m:ctrlPr>
                  <w:rPr>
                    <w:rFonts w:ascii="Cambria Math" w:hAnsi="Cambria Math" w:eastAsiaTheme="minorEastAsia"/>
                    <w:i/>
                    <w:sz w:val="18"/>
                    <w:szCs w:val="21"/>
                  </w:rPr>
                </m:ctrlPr>
              </m:dPr>
              <m:e>
                <m:r>
                  <m:rPr/>
                  <w:rPr>
                    <w:rFonts w:ascii="Cambria Math" w:hAnsi="Cambria Math"/>
                    <w:szCs w:val="21"/>
                  </w:rPr>
                  <m:t>m</m:t>
                </m:r>
                <m:ctrlPr>
                  <w:rPr>
                    <w:rFonts w:ascii="Cambria Math" w:hAnsi="Cambria Math" w:eastAsiaTheme="minorEastAsia"/>
                    <w:i/>
                    <w:sz w:val="18"/>
                    <w:szCs w:val="21"/>
                  </w:rPr>
                </m:ctrlPr>
              </m:e>
            </m:d>
            <m:ctrlPr>
              <w:rPr>
                <w:rFonts w:ascii="Cambria Math" w:hAnsi="Cambria Math" w:eastAsiaTheme="minorEastAsia"/>
                <w:i/>
                <w:sz w:val="18"/>
                <w:szCs w:val="21"/>
              </w:rPr>
            </m:ctrlPr>
          </m:e>
        </m:rad>
      </m:oMath>
      <w:r>
        <w:rPr>
          <w:rFonts w:hint="eastAsia"/>
        </w:rPr>
        <w:t xml:space="preserve">                   (A.6)</w:t>
      </w:r>
    </w:p>
    <w:p w14:paraId="189C59BB">
      <w:pPr>
        <w:snapToGrid w:val="0"/>
        <w:spacing w:line="360" w:lineRule="auto"/>
        <w:ind w:firstLine="480"/>
        <w:jc w:val="left"/>
        <w:rPr>
          <w:sz w:val="24"/>
        </w:rPr>
      </w:pPr>
      <w:r>
        <w:rPr>
          <w:sz w:val="24"/>
        </w:rPr>
        <w:t>式中：</w:t>
      </w:r>
    </w:p>
    <w:p w14:paraId="2C8E5C41">
      <w:pPr>
        <w:snapToGrid w:val="0"/>
        <w:spacing w:line="360" w:lineRule="auto"/>
        <w:ind w:firstLine="480"/>
        <w:jc w:val="left"/>
        <w:rPr>
          <w:sz w:val="24"/>
        </w:rPr>
      </w:pPr>
      <m:oMath>
        <m:r>
          <m:rPr/>
          <w:rPr>
            <w:rFonts w:hint="eastAsia" w:ascii="Cambria Math" w:hAnsi="Cambria Math" w:eastAsiaTheme="minorEastAsia"/>
          </w:rPr>
          <m:t>u</m:t>
        </m:r>
        <m:d>
          <m:dPr>
            <m:ctrlPr>
              <w:rPr>
                <w:rFonts w:ascii="Cambria Math" w:hAnsi="Cambria Math" w:eastAsiaTheme="minorEastAsia"/>
                <w:i/>
              </w:rPr>
            </m:ctrlPr>
          </m:dPr>
          <m:e>
            <m:sSub>
              <m:sSubPr>
                <m:ctrlPr>
                  <w:rPr>
                    <w:rFonts w:ascii="Cambria Math" w:hAnsi="Cambria Math"/>
                    <w:i/>
                    <w:iCs/>
                    <w:sz w:val="24"/>
                  </w:rPr>
                </m:ctrlPr>
              </m:sSubPr>
              <m:e>
                <m:r>
                  <m:rPr/>
                  <w:rPr>
                    <w:rFonts w:ascii="Cambria Math" w:hAnsi="Cambria Math"/>
                    <w:sz w:val="24"/>
                  </w:rPr>
                  <m:t>v</m:t>
                </m:r>
                <m:ctrlPr>
                  <w:rPr>
                    <w:rFonts w:ascii="Cambria Math" w:hAnsi="Cambria Math"/>
                    <w:i/>
                    <w:iCs/>
                    <w:sz w:val="24"/>
                  </w:rPr>
                </m:ctrlPr>
              </m:e>
              <m:sub>
                <m:r>
                  <m:rPr/>
                  <w:rPr>
                    <w:rFonts w:hint="eastAsia" w:ascii="Cambria Math" w:hAnsi="Cambria Math"/>
                    <w:sz w:val="24"/>
                  </w:rPr>
                  <m:t>s</m:t>
                </m:r>
                <m:ctrlPr>
                  <w:rPr>
                    <w:rFonts w:ascii="Cambria Math" w:hAnsi="Cambria Math"/>
                    <w:i/>
                    <w:iCs/>
                    <w:sz w:val="24"/>
                  </w:rPr>
                </m:ctrlPr>
              </m:sub>
            </m:sSub>
            <m:ctrlPr>
              <w:rPr>
                <w:rFonts w:ascii="Cambria Math" w:hAnsi="Cambria Math" w:eastAsiaTheme="minorEastAsia"/>
                <w:i/>
              </w:rPr>
            </m:ctrlPr>
          </m:e>
        </m:d>
      </m:oMath>
      <w:r>
        <w:rPr>
          <w:sz w:val="24"/>
        </w:rPr>
        <w:t>——标准电功率</w:t>
      </w:r>
      <w:r>
        <w:rPr>
          <w:rFonts w:hint="eastAsia"/>
          <w:sz w:val="24"/>
        </w:rPr>
        <w:t>校准方法</w:t>
      </w:r>
      <w:r>
        <w:rPr>
          <w:sz w:val="24"/>
        </w:rPr>
        <w:t>引入的不确定度分量；</w:t>
      </w:r>
    </w:p>
    <w:p w14:paraId="5141122F">
      <w:pPr>
        <w:snapToGrid w:val="0"/>
        <w:spacing w:line="360" w:lineRule="auto"/>
        <w:ind w:firstLine="480"/>
        <w:jc w:val="left"/>
        <w:rPr>
          <w:sz w:val="24"/>
        </w:rPr>
      </w:pPr>
      <m:oMath>
        <m:r>
          <m:rPr/>
          <w:rPr>
            <w:rFonts w:ascii="Cambria Math" w:hAnsi="Cambria Math"/>
            <w:szCs w:val="21"/>
          </w:rPr>
          <m:t>(</m:t>
        </m:r>
        <m:f>
          <m:fPr>
            <m:ctrlPr>
              <w:rPr>
                <w:rFonts w:ascii="Cambria Math" w:hAnsi="Cambria Math"/>
                <w:i/>
                <w:iCs/>
                <w:szCs w:val="21"/>
              </w:rPr>
            </m:ctrlPr>
          </m:fPr>
          <m:num>
            <m:r>
              <m:rPr/>
              <w:rPr>
                <w:rFonts w:ascii="Cambria Math" w:hAnsi="Cambria Math"/>
                <w:szCs w:val="21"/>
              </w:rPr>
              <m:t>60</m:t>
            </m:r>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r>
              <m:rPr/>
              <w:rPr>
                <w:rFonts w:ascii="Cambria Math" w:hAnsi="Cambria Math"/>
                <w:szCs w:val="21"/>
              </w:rPr>
              <m:t>m</m:t>
            </m:r>
            <m:ctrlPr>
              <w:rPr>
                <w:rFonts w:ascii="Cambria Math" w:hAnsi="Cambria Math"/>
                <w:i/>
                <w:iCs/>
                <w:szCs w:val="21"/>
              </w:rPr>
            </m:ctrlPr>
          </m:den>
        </m:f>
        <m:r>
          <m:rPr/>
          <w:rPr>
            <w:rFonts w:ascii="Cambria Math" w:hAnsi="Cambria Math"/>
            <w:szCs w:val="21"/>
          </w:rPr>
          <m:t>)</m:t>
        </m:r>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eastAsiaTheme="minorEastAsia"/>
                <w:i/>
                <w:sz w:val="18"/>
                <w:szCs w:val="21"/>
              </w:rPr>
            </m:ctrlPr>
          </m:e>
        </m:d>
      </m:oMath>
      <w:r>
        <w:rPr>
          <w:sz w:val="24"/>
        </w:rPr>
        <w:t>——测量</w:t>
      </w:r>
      <w:r>
        <w:rPr>
          <w:rFonts w:hint="eastAsia"/>
          <w:sz w:val="24"/>
        </w:rPr>
        <w:t>电压</w:t>
      </w:r>
      <w:r>
        <w:rPr>
          <w:sz w:val="24"/>
        </w:rPr>
        <w:t>引入的不确定度分量；</w:t>
      </w:r>
    </w:p>
    <w:p w14:paraId="60D67A03">
      <w:pPr>
        <w:snapToGrid w:val="0"/>
        <w:spacing w:line="360" w:lineRule="auto"/>
        <w:ind w:firstLine="480"/>
        <w:jc w:val="left"/>
        <w:rPr>
          <w:sz w:val="24"/>
        </w:rPr>
      </w:pPr>
      <m:oMath>
        <m:f>
          <m:fPr>
            <m:ctrlPr>
              <w:rPr>
                <w:rFonts w:ascii="Cambria Math" w:hAnsi="Cambria Math"/>
                <w:i/>
                <w:iCs/>
                <w:szCs w:val="21"/>
              </w:rPr>
            </m:ctrlPr>
          </m:fPr>
          <m:num>
            <m:r>
              <m:rPr/>
              <w:rPr>
                <w:rFonts w:ascii="Cambria Math" w:hAnsi="Cambria Math"/>
                <w:szCs w:val="21"/>
              </w:rPr>
              <m:t>60</m:t>
            </m:r>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r>
              <m:rPr/>
              <w:rPr>
                <w:rFonts w:ascii="Cambria Math" w:hAnsi="Cambria Math"/>
                <w:szCs w:val="21"/>
              </w:rPr>
              <m:t>m</m:t>
            </m:r>
            <m:ctrlPr>
              <w:rPr>
                <w:rFonts w:ascii="Cambria Math" w:hAnsi="Cambria Math"/>
                <w:i/>
                <w:iCs/>
                <w:szCs w:val="21"/>
              </w:rPr>
            </m:ctrlPr>
          </m:den>
        </m:f>
        <m:r>
          <m:rPr/>
          <w:rPr>
            <w:rFonts w:ascii="Cambria Math" w:hAnsi="Cambria Math"/>
            <w:szCs w:val="21"/>
          </w:rPr>
          <m:t>)</m:t>
        </m:r>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eastAsiaTheme="minorEastAsia"/>
                <w:i/>
                <w:sz w:val="18"/>
                <w:szCs w:val="21"/>
              </w:rPr>
            </m:ctrlPr>
          </m:e>
        </m:d>
      </m:oMath>
      <w:r>
        <w:rPr>
          <w:sz w:val="24"/>
        </w:rPr>
        <w:t>——测量</w:t>
      </w:r>
      <w:r>
        <w:rPr>
          <w:rFonts w:hint="eastAsia"/>
          <w:sz w:val="24"/>
        </w:rPr>
        <w:t>电流</w:t>
      </w:r>
      <w:r>
        <w:rPr>
          <w:sz w:val="24"/>
        </w:rPr>
        <w:t>引入的不确定度分量；</w:t>
      </w:r>
    </w:p>
    <w:p w14:paraId="706EFF69">
      <w:pPr>
        <w:snapToGrid w:val="0"/>
        <w:spacing w:line="360" w:lineRule="auto"/>
        <w:ind w:firstLine="480"/>
        <w:jc w:val="left"/>
        <w:rPr>
          <w:sz w:val="24"/>
        </w:rPr>
      </w:pPr>
      <m:oMath>
        <m:r>
          <m:rP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m:rPr/>
                  <w:rPr>
                    <w:rFonts w:ascii="Cambria Math" w:hAnsi="Cambria Math"/>
                    <w:szCs w:val="21"/>
                  </w:rPr>
                  <m:t>60U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p>
              <m:sSupPr>
                <m:ctrlPr>
                  <w:rPr>
                    <w:rFonts w:ascii="Cambria Math" w:hAnsi="Cambria Math"/>
                    <w:i/>
                    <w:iCs/>
                    <w:szCs w:val="21"/>
                  </w:rPr>
                </m:ctrlPr>
              </m:sSupPr>
              <m:e>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ctrlPr>
                  <w:rPr>
                    <w:rFonts w:ascii="Cambria Math" w:hAnsi="Cambria Math"/>
                    <w:i/>
                    <w:iCs/>
                    <w:szCs w:val="21"/>
                  </w:rPr>
                </m:ctrlPr>
              </m:e>
              <m:sup>
                <m:r>
                  <m:rPr/>
                  <w:rPr>
                    <w:rFonts w:ascii="Cambria Math" w:hAnsi="Cambria Math"/>
                    <w:szCs w:val="21"/>
                  </w:rPr>
                  <m:t>2</m:t>
                </m:r>
                <m:ctrlPr>
                  <w:rPr>
                    <w:rFonts w:ascii="Cambria Math" w:hAnsi="Cambria Math"/>
                    <w:i/>
                    <w:iCs/>
                    <w:szCs w:val="21"/>
                  </w:rPr>
                </m:ctrlPr>
              </m:sup>
            </m:sSup>
            <m:r>
              <m:rPr/>
              <w:rPr>
                <w:rFonts w:ascii="Cambria Math" w:hAnsi="Cambria Math"/>
                <w:szCs w:val="21"/>
              </w:rPr>
              <m:t>m</m:t>
            </m:r>
            <m:ctrlPr>
              <w:rPr>
                <w:rFonts w:ascii="Cambria Math" w:hAnsi="Cambria Math"/>
                <w:i/>
                <w:iCs/>
                <w:szCs w:val="21"/>
              </w:rPr>
            </m:ctrlPr>
          </m:den>
        </m:f>
        <m:r>
          <m:rPr/>
          <w:rPr>
            <w:rFonts w:ascii="Cambria Math" w:hAnsi="Cambria Math"/>
            <w:szCs w:val="21"/>
          </w:rPr>
          <m:t>)</m:t>
        </m:r>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ctrlPr>
              <w:rPr>
                <w:rFonts w:ascii="Cambria Math" w:hAnsi="Cambria Math" w:eastAsiaTheme="minorEastAsia"/>
                <w:i/>
                <w:sz w:val="18"/>
                <w:szCs w:val="21"/>
              </w:rPr>
            </m:ctrlPr>
          </m:e>
        </m:d>
      </m:oMath>
      <w:r>
        <w:rPr>
          <w:sz w:val="24"/>
        </w:rPr>
        <w:t>——</w:t>
      </w:r>
      <w:r>
        <w:rPr>
          <w:rFonts w:hint="eastAsia"/>
          <w:sz w:val="24"/>
        </w:rPr>
        <w:t>测量标准样块比热容引入</w:t>
      </w:r>
      <w:r>
        <w:rPr>
          <w:sz w:val="24"/>
        </w:rPr>
        <w:t>的不确定度分量</w:t>
      </w:r>
      <w:r>
        <w:rPr>
          <w:rFonts w:hint="eastAsia"/>
          <w:sz w:val="24"/>
        </w:rPr>
        <w:t>；</w:t>
      </w:r>
    </w:p>
    <w:p w14:paraId="7ABAD810">
      <w:pPr>
        <w:snapToGrid w:val="0"/>
        <w:spacing w:line="360" w:lineRule="auto"/>
        <w:ind w:firstLine="480"/>
        <w:jc w:val="left"/>
        <w:rPr>
          <w:sz w:val="24"/>
        </w:rPr>
      </w:pPr>
      <m:oMath>
        <m:r>
          <m:rP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m:rPr/>
                  <w:rPr>
                    <w:rFonts w:ascii="Cambria Math" w:hAnsi="Cambria Math"/>
                    <w:szCs w:val="21"/>
                  </w:rPr>
                  <m:t>60U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sSup>
              <m:sSupPr>
                <m:ctrlPr>
                  <w:rPr>
                    <w:rFonts w:ascii="Cambria Math" w:hAnsi="Cambria Math"/>
                    <w:i/>
                    <w:iCs/>
                    <w:szCs w:val="21"/>
                  </w:rPr>
                </m:ctrlPr>
              </m:sSupPr>
              <m:e>
                <m:r>
                  <m:rPr/>
                  <w:rPr>
                    <w:rFonts w:ascii="Cambria Math" w:hAnsi="Cambria Math"/>
                    <w:szCs w:val="21"/>
                  </w:rPr>
                  <m:t>m</m:t>
                </m:r>
                <m:ctrlPr>
                  <w:rPr>
                    <w:rFonts w:ascii="Cambria Math" w:hAnsi="Cambria Math"/>
                    <w:i/>
                    <w:iCs/>
                    <w:szCs w:val="21"/>
                  </w:rPr>
                </m:ctrlPr>
              </m:e>
              <m:sup>
                <m:r>
                  <m:rPr/>
                  <w:rPr>
                    <w:rFonts w:ascii="Cambria Math" w:hAnsi="Cambria Math"/>
                    <w:szCs w:val="21"/>
                  </w:rPr>
                  <m:t>2</m:t>
                </m:r>
                <m:ctrlPr>
                  <w:rPr>
                    <w:rFonts w:ascii="Cambria Math" w:hAnsi="Cambria Math"/>
                    <w:i/>
                    <w:iCs/>
                    <w:szCs w:val="21"/>
                  </w:rPr>
                </m:ctrlPr>
              </m:sup>
            </m:sSup>
            <m:ctrlPr>
              <w:rPr>
                <w:rFonts w:ascii="Cambria Math" w:hAnsi="Cambria Math"/>
                <w:i/>
                <w:iCs/>
                <w:szCs w:val="21"/>
              </w:rPr>
            </m:ctrlPr>
          </m:den>
        </m:f>
        <m:r>
          <m:rPr/>
          <w:rPr>
            <w:rFonts w:ascii="Cambria Math" w:hAnsi="Cambria Math"/>
            <w:szCs w:val="21"/>
          </w:rPr>
          <m:t>)</m:t>
        </m:r>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r>
              <m:rPr/>
              <w:rPr>
                <w:rFonts w:ascii="Cambria Math" w:hAnsi="Cambria Math"/>
                <w:szCs w:val="21"/>
              </w:rPr>
              <m:t>m</m:t>
            </m:r>
            <m:ctrlPr>
              <w:rPr>
                <w:rFonts w:ascii="Cambria Math" w:hAnsi="Cambria Math" w:eastAsiaTheme="minorEastAsia"/>
                <w:i/>
                <w:sz w:val="18"/>
                <w:szCs w:val="21"/>
              </w:rPr>
            </m:ctrlPr>
          </m:e>
        </m:d>
      </m:oMath>
      <w:r>
        <w:rPr>
          <w:sz w:val="24"/>
        </w:rPr>
        <w:t>——</w:t>
      </w:r>
      <w:r>
        <w:rPr>
          <w:rFonts w:hint="eastAsia"/>
          <w:sz w:val="24"/>
        </w:rPr>
        <w:t>测量标准样块质量引入</w:t>
      </w:r>
      <w:r>
        <w:rPr>
          <w:sz w:val="24"/>
        </w:rPr>
        <w:t>的不确定度分量</w:t>
      </w:r>
      <w:r>
        <w:rPr>
          <w:rFonts w:hint="eastAsia"/>
          <w:sz w:val="24"/>
        </w:rPr>
        <w:t>；</w:t>
      </w:r>
    </w:p>
    <w:p w14:paraId="41022BAF">
      <w:pPr>
        <w:snapToGrid w:val="0"/>
        <w:spacing w:line="360" w:lineRule="auto"/>
        <w:ind w:firstLine="480" w:firstLineChars="200"/>
        <w:rPr>
          <w:sz w:val="24"/>
        </w:rPr>
      </w:pPr>
      <w:r>
        <w:rPr>
          <w:sz w:val="24"/>
        </w:rPr>
        <w:t>根据电压回读精度小于</w:t>
      </w:r>
      <w:r>
        <w:rPr>
          <w:bCs/>
          <w:sz w:val="24"/>
        </w:rPr>
        <w:t>0.1%，电流回读精度</w:t>
      </w:r>
      <w:r>
        <w:rPr>
          <w:sz w:val="24"/>
        </w:rPr>
        <w:t>小于</w:t>
      </w:r>
      <w:r>
        <w:rPr>
          <w:bCs/>
          <w:sz w:val="24"/>
        </w:rPr>
        <w:t>0.2%，按照</w:t>
      </w:r>
      <w:r>
        <w:rPr>
          <w:sz w:val="24"/>
        </w:rPr>
        <w:t>均匀分布，置信因子</w:t>
      </w:r>
      <w:r>
        <w:rPr>
          <w:position w:val="-8"/>
        </w:rPr>
        <w:object>
          <v:shape id="_x0000_i1054" o:spt="75" type="#_x0000_t75" style="height:18pt;width:36.75pt;" o:ole="t" filled="f" o:preferrelative="t" stroked="f" coordsize="21600,21600">
            <v:path/>
            <v:fill on="f" focussize="0,0"/>
            <v:stroke on="f" joinstyle="miter"/>
            <v:imagedata r:id="rId75" o:title=""/>
            <o:lock v:ext="edit" aspectratio="t"/>
            <w10:wrap type="none"/>
            <w10:anchorlock/>
          </v:shape>
          <o:OLEObject Type="Embed" ProgID="Equation.3" ShapeID="_x0000_i1054" DrawAspect="Content" ObjectID="_1468075754" r:id="rId74">
            <o:LockedField>false</o:LockedField>
          </o:OLEObject>
        </w:object>
      </w:r>
      <w:r>
        <w:t>，</w:t>
      </w:r>
      <w:r>
        <w:rPr>
          <w:sz w:val="24"/>
        </w:rPr>
        <w:t>则测量电压引入的相对不确定度分量与测量电流引入的不确定度分量分别为：</w:t>
      </w:r>
    </w:p>
    <w:p w14:paraId="76E18D91">
      <w:pPr>
        <w:snapToGrid w:val="0"/>
        <w:spacing w:line="360" w:lineRule="auto"/>
        <w:ind w:firstLine="480"/>
        <w:jc w:val="center"/>
        <w:rPr>
          <w:bCs/>
          <w:i/>
          <w:sz w:val="24"/>
        </w:rPr>
      </w:pPr>
      <m:oMath>
        <m:d>
          <m:dPr>
            <m:ctrlPr>
              <w:rPr>
                <w:rFonts w:ascii="Cambria Math" w:hAnsi="Cambria Math"/>
                <w:i/>
                <w:iCs/>
                <w:szCs w:val="21"/>
              </w:rPr>
            </m:ctrlPr>
          </m:dPr>
          <m:e>
            <m:f>
              <m:fPr>
                <m:ctrlPr>
                  <w:rPr>
                    <w:rFonts w:ascii="Cambria Math" w:hAnsi="Cambria Math"/>
                    <w:i/>
                    <w:iCs/>
                    <w:szCs w:val="21"/>
                  </w:rPr>
                </m:ctrlPr>
              </m:fPr>
              <m:num>
                <m:r>
                  <m:rPr/>
                  <w:rPr>
                    <w:rFonts w:ascii="Cambria Math" w:hAnsi="Cambria Math"/>
                    <w:szCs w:val="21"/>
                  </w:rPr>
                  <m:t>60</m:t>
                </m:r>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r>
                  <m:rPr/>
                  <w:rPr>
                    <w:rFonts w:ascii="Cambria Math" w:hAnsi="Cambria Math"/>
                    <w:szCs w:val="21"/>
                  </w:rPr>
                  <m:t>m</m:t>
                </m:r>
                <m:ctrlPr>
                  <w:rPr>
                    <w:rFonts w:ascii="Cambria Math" w:hAnsi="Cambria Math"/>
                    <w:i/>
                    <w:iCs/>
                    <w:szCs w:val="21"/>
                  </w:rPr>
                </m:ctrlPr>
              </m:den>
            </m:f>
            <m:ctrlPr>
              <w:rPr>
                <w:rFonts w:ascii="Cambria Math" w:hAnsi="Cambria Math"/>
                <w:i/>
                <w:iCs/>
                <w:szCs w:val="21"/>
              </w:rPr>
            </m:ctrlPr>
          </m:e>
        </m:d>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eastAsiaTheme="minorEastAsia"/>
                <w:i/>
                <w:sz w:val="18"/>
                <w:szCs w:val="21"/>
              </w:rPr>
            </m:ctrlPr>
          </m:e>
        </m:d>
        <m:r>
          <m:rPr/>
          <w:rPr>
            <w:rFonts w:ascii="Cambria Math" w:hAnsi="Cambria Math" w:eastAsiaTheme="minorEastAsia"/>
          </w:rPr>
          <m:t>=</m:t>
        </m:r>
        <m:f>
          <m:fPr>
            <m:ctrlPr>
              <w:rPr>
                <w:rFonts w:ascii="Cambria Math" w:hAnsi="Cambria Math" w:eastAsiaTheme="minorEastAsia"/>
                <w:i/>
              </w:rPr>
            </m:ctrlPr>
          </m:fPr>
          <m:num>
            <m:r>
              <m:rPr/>
              <w:rPr>
                <w:rFonts w:ascii="Cambria Math" w:hAnsi="Cambria Math" w:eastAsiaTheme="minorEastAsia"/>
              </w:rPr>
              <m:t>60×0.15</m:t>
            </m:r>
            <m:ctrlPr>
              <w:rPr>
                <w:rFonts w:ascii="Cambria Math" w:hAnsi="Cambria Math" w:eastAsiaTheme="minorEastAsia"/>
                <w:i/>
              </w:rPr>
            </m:ctrlPr>
          </m:num>
          <m:den>
            <m:r>
              <m:rPr/>
              <w:rPr>
                <w:rFonts w:ascii="Cambria Math" w:hAnsi="Cambria Math" w:eastAsiaTheme="minorEastAsia"/>
              </w:rPr>
              <m:t>910×1.5</m:t>
            </m:r>
            <m:ctrlPr>
              <w:rPr>
                <w:rFonts w:ascii="Cambria Math" w:hAnsi="Cambria Math" w:eastAsiaTheme="minorEastAsia"/>
                <w:i/>
              </w:rPr>
            </m:ctrlPr>
          </m:den>
        </m:f>
        <m:r>
          <m:rPr/>
          <w:rPr>
            <w:rFonts w:ascii="Cambria Math" w:hAnsi="Cambria Math" w:eastAsiaTheme="minorEastAsia"/>
          </w:rPr>
          <m:t>×</m:t>
        </m:r>
        <m:f>
          <m:fPr>
            <m:ctrlPr>
              <w:rPr>
                <w:rFonts w:ascii="Cambria Math" w:hAnsi="Cambria Math"/>
                <w:bCs/>
                <w:sz w:val="24"/>
              </w:rPr>
            </m:ctrlPr>
          </m:fPr>
          <m:num>
            <m:r>
              <m:rPr>
                <m:sty m:val="p"/>
              </m:rPr>
              <w:rPr>
                <w:rFonts w:ascii="Cambria Math" w:hAnsi="Cambria Math"/>
                <w:sz w:val="24"/>
              </w:rPr>
              <m:t>0.1%</m:t>
            </m:r>
            <m:r>
              <m:rPr>
                <m:sty m:val="p"/>
              </m:rPr>
              <w:rPr>
                <w:rFonts w:ascii="Cambria Math" w:hAnsi="Cambria Math" w:eastAsia="MS Gothic" w:cs="MS Gothic"/>
                <w:sz w:val="24"/>
              </w:rPr>
              <m:t>×</m:t>
            </m:r>
            <m:r>
              <m:rPr>
                <m:sty m:val="p"/>
              </m:rPr>
              <w:rPr>
                <w:rFonts w:ascii="Cambria Math"/>
                <w:sz w:val="24"/>
              </w:rPr>
              <m:t>1.5</m:t>
            </m:r>
            <m:ctrlPr>
              <w:rPr>
                <w:rFonts w:ascii="Cambria Math" w:hAnsi="Cambria Math"/>
                <w:bCs/>
                <w:sz w:val="24"/>
              </w:rPr>
            </m:ctrlPr>
          </m:num>
          <m:den>
            <m:rad>
              <m:radPr>
                <m:degHide m:val="1"/>
                <m:ctrlPr>
                  <w:rPr>
                    <w:rFonts w:ascii="Cambria Math" w:hAnsi="Cambria Math"/>
                    <w:bCs/>
                    <w:i/>
                    <w:sz w:val="24"/>
                  </w:rPr>
                </m:ctrlPr>
              </m:radPr>
              <m:deg>
                <m:ctrlPr>
                  <w:rPr>
                    <w:rFonts w:ascii="Cambria Math" w:hAnsi="Cambria Math"/>
                    <w:bCs/>
                    <w:i/>
                    <w:sz w:val="24"/>
                  </w:rPr>
                </m:ctrlPr>
              </m:deg>
              <m:e>
                <m:r>
                  <m:rPr/>
                  <w:rPr>
                    <w:rFonts w:ascii="Cambria Math" w:hAnsi="Cambria Math"/>
                    <w:sz w:val="24"/>
                  </w:rPr>
                  <m:t>3</m:t>
                </m:r>
                <m:ctrlPr>
                  <w:rPr>
                    <w:rFonts w:ascii="Cambria Math" w:hAnsi="Cambria Math"/>
                    <w:bCs/>
                    <w:i/>
                    <w:sz w:val="24"/>
                  </w:rPr>
                </m:ctrlPr>
              </m:e>
            </m:rad>
            <m:ctrlPr>
              <w:rPr>
                <w:rFonts w:ascii="Cambria Math" w:hAnsi="Cambria Math"/>
                <w:bCs/>
                <w:sz w:val="24"/>
              </w:rPr>
            </m:ctrlPr>
          </m:den>
        </m:f>
      </m:oMath>
      <w:r>
        <w:rPr>
          <w:rFonts w:hint="eastAsia"/>
          <w:bCs/>
          <w:i/>
          <w:sz w:val="24"/>
        </w:rPr>
        <w:t xml:space="preserve"> </w:t>
      </w:r>
      <w:r>
        <w:rPr>
          <w:rFonts w:hint="eastAsia"/>
          <w:bCs/>
          <w:iCs/>
          <w:sz w:val="24"/>
        </w:rPr>
        <w:t>=0.00001</w:t>
      </w:r>
      <w:r>
        <w:rPr>
          <w:sz w:val="24"/>
        </w:rPr>
        <w:t>℃</w:t>
      </w:r>
      <w:r>
        <w:rPr>
          <w:rFonts w:hint="eastAsia"/>
          <w:sz w:val="24"/>
        </w:rPr>
        <w:t>/min</w:t>
      </w:r>
    </w:p>
    <w:p w14:paraId="520652FE">
      <w:pPr>
        <w:snapToGrid w:val="0"/>
        <w:spacing w:line="360" w:lineRule="auto"/>
        <w:ind w:firstLine="480"/>
        <w:jc w:val="center"/>
        <w:rPr>
          <w:bCs/>
          <w:sz w:val="24"/>
        </w:rPr>
      </w:pPr>
      <m:oMath>
        <m:r>
          <m:rPr/>
          <w:rPr>
            <w:rFonts w:ascii="Cambria Math" w:hAnsi="Cambria Math"/>
            <w:szCs w:val="21"/>
          </w:rPr>
          <m:t>(</m:t>
        </m:r>
        <m:f>
          <m:fPr>
            <m:ctrlPr>
              <w:rPr>
                <w:rFonts w:ascii="Cambria Math" w:hAnsi="Cambria Math"/>
                <w:i/>
                <w:iCs/>
                <w:szCs w:val="21"/>
              </w:rPr>
            </m:ctrlPr>
          </m:fPr>
          <m:num>
            <m:r>
              <m:rPr/>
              <w:rPr>
                <w:rFonts w:ascii="Cambria Math" w:hAnsi="Cambria Math"/>
                <w:szCs w:val="21"/>
              </w:rPr>
              <m:t>60</m:t>
            </m:r>
            <m:sSub>
              <m:sSubPr>
                <m:ctrlPr>
                  <w:rPr>
                    <w:rFonts w:ascii="Cambria Math" w:hAnsi="Cambria Math"/>
                    <w:i/>
                    <w:iCs/>
                    <w:szCs w:val="21"/>
                  </w:rPr>
                </m:ctrlPr>
              </m:sSubPr>
              <m:e>
                <m:r>
                  <m:rPr/>
                  <w:rPr>
                    <w:rFonts w:ascii="Cambria Math" w:hAnsi="Cambria Math"/>
                    <w:szCs w:val="21"/>
                  </w:rPr>
                  <m:t>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r>
              <m:rPr/>
              <w:rPr>
                <w:rFonts w:ascii="Cambria Math" w:hAnsi="Cambria Math"/>
                <w:szCs w:val="21"/>
              </w:rPr>
              <m:t>m</m:t>
            </m:r>
            <m:ctrlPr>
              <w:rPr>
                <w:rFonts w:ascii="Cambria Math" w:hAnsi="Cambria Math"/>
                <w:i/>
                <w:iCs/>
                <w:szCs w:val="21"/>
              </w:rPr>
            </m:ctrlPr>
          </m:den>
        </m:f>
        <m:r>
          <m:rPr/>
          <w:rPr>
            <w:rFonts w:ascii="Cambria Math" w:hAnsi="Cambria Math"/>
            <w:szCs w:val="21"/>
          </w:rPr>
          <m:t>)</m:t>
        </m:r>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eastAsiaTheme="minorEastAsia"/>
                <w:i/>
                <w:sz w:val="18"/>
                <w:szCs w:val="21"/>
              </w:rPr>
            </m:ctrlPr>
          </m:e>
        </m:d>
      </m:oMath>
      <w:r>
        <w:rPr>
          <w:rFonts w:hint="eastAsia"/>
          <w:sz w:val="18"/>
          <w:szCs w:val="21"/>
        </w:rPr>
        <w:t>=</w:t>
      </w:r>
      <m:oMath>
        <m:f>
          <m:fPr>
            <m:ctrlPr>
              <w:rPr>
                <w:rFonts w:ascii="Cambria Math" w:hAnsi="Cambria Math" w:eastAsiaTheme="minorEastAsia"/>
                <w:i/>
              </w:rPr>
            </m:ctrlPr>
          </m:fPr>
          <m:num>
            <m:r>
              <m:rPr/>
              <w:rPr>
                <w:rFonts w:ascii="Cambria Math" w:hAnsi="Cambria Math" w:eastAsiaTheme="minorEastAsia"/>
              </w:rPr>
              <m:t>60×1.5</m:t>
            </m:r>
            <m:ctrlPr>
              <w:rPr>
                <w:rFonts w:ascii="Cambria Math" w:hAnsi="Cambria Math" w:eastAsiaTheme="minorEastAsia"/>
                <w:i/>
              </w:rPr>
            </m:ctrlPr>
          </m:num>
          <m:den>
            <m:r>
              <m:rPr/>
              <w:rPr>
                <w:rFonts w:ascii="Cambria Math" w:hAnsi="Cambria Math" w:eastAsiaTheme="minorEastAsia"/>
              </w:rPr>
              <m:t>910×1.5</m:t>
            </m:r>
            <m:ctrlPr>
              <w:rPr>
                <w:rFonts w:ascii="Cambria Math" w:hAnsi="Cambria Math" w:eastAsiaTheme="minorEastAsia"/>
                <w:i/>
              </w:rPr>
            </m:ctrlPr>
          </m:den>
        </m:f>
        <m:r>
          <m:rPr/>
          <w:rPr>
            <w:rFonts w:ascii="Cambria Math" w:hAnsi="Cambria Math" w:eastAsiaTheme="minorEastAsia"/>
          </w:rPr>
          <m:t>×</m:t>
        </m:r>
        <m:f>
          <m:fPr>
            <m:ctrlPr>
              <w:rPr>
                <w:rFonts w:ascii="Cambria Math" w:hAnsi="Cambria Math"/>
                <w:bCs/>
                <w:sz w:val="24"/>
              </w:rPr>
            </m:ctrlPr>
          </m:fPr>
          <m:num>
            <m:r>
              <m:rPr>
                <m:sty m:val="p"/>
              </m:rPr>
              <w:rPr>
                <w:rFonts w:ascii="Cambria Math" w:hAnsi="Cambria Math"/>
                <w:sz w:val="24"/>
              </w:rPr>
              <m:t>0.2%</m:t>
            </m:r>
            <m:r>
              <m:rPr>
                <m:sty m:val="p"/>
              </m:rPr>
              <w:rPr>
                <w:rFonts w:ascii="Cambria Math" w:hAnsi="Cambria Math" w:eastAsia="MS Gothic" w:cs="MS Gothic"/>
                <w:sz w:val="24"/>
              </w:rPr>
              <m:t>×0</m:t>
            </m:r>
            <m:r>
              <m:rPr/>
              <w:rPr>
                <w:rFonts w:ascii="Cambria Math" w:hAnsi="Cambria Math" w:cs="MS Gothic" w:eastAsiaTheme="minorEastAsia"/>
                <w:sz w:val="24"/>
              </w:rPr>
              <m:t>.</m:t>
            </m:r>
            <m:r>
              <m:rPr>
                <m:sty m:val="p"/>
              </m:rPr>
              <w:rPr>
                <w:rFonts w:ascii="Cambria Math"/>
                <w:sz w:val="24"/>
              </w:rPr>
              <m:t>15</m:t>
            </m:r>
            <m:ctrlPr>
              <w:rPr>
                <w:rFonts w:ascii="Cambria Math" w:hAnsi="Cambria Math"/>
                <w:bCs/>
                <w:sz w:val="24"/>
              </w:rPr>
            </m:ctrlPr>
          </m:num>
          <m:den>
            <m:rad>
              <m:radPr>
                <m:degHide m:val="1"/>
                <m:ctrlPr>
                  <w:rPr>
                    <w:rFonts w:ascii="Cambria Math" w:hAnsi="Cambria Math"/>
                    <w:bCs/>
                    <w:i/>
                    <w:sz w:val="24"/>
                  </w:rPr>
                </m:ctrlPr>
              </m:radPr>
              <m:deg>
                <m:ctrlPr>
                  <w:rPr>
                    <w:rFonts w:ascii="Cambria Math" w:hAnsi="Cambria Math"/>
                    <w:bCs/>
                    <w:i/>
                    <w:sz w:val="24"/>
                  </w:rPr>
                </m:ctrlPr>
              </m:deg>
              <m:e>
                <m:r>
                  <m:rPr/>
                  <w:rPr>
                    <w:rFonts w:ascii="Cambria Math" w:hAnsi="Cambria Math"/>
                    <w:sz w:val="24"/>
                  </w:rPr>
                  <m:t>3</m:t>
                </m:r>
                <m:ctrlPr>
                  <w:rPr>
                    <w:rFonts w:ascii="Cambria Math" w:hAnsi="Cambria Math"/>
                    <w:bCs/>
                    <w:i/>
                    <w:sz w:val="24"/>
                  </w:rPr>
                </m:ctrlPr>
              </m:e>
            </m:rad>
            <m:ctrlPr>
              <w:rPr>
                <w:rFonts w:ascii="Cambria Math" w:hAnsi="Cambria Math"/>
                <w:bCs/>
                <w:sz w:val="24"/>
              </w:rPr>
            </m:ctrlPr>
          </m:den>
        </m:f>
      </m:oMath>
      <w:r>
        <w:rPr>
          <w:rFonts w:hint="eastAsia"/>
          <w:bCs/>
          <w:i/>
          <w:sz w:val="24"/>
        </w:rPr>
        <w:t xml:space="preserve"> </w:t>
      </w:r>
      <w:r>
        <w:rPr>
          <w:rFonts w:hint="eastAsia"/>
          <w:bCs/>
          <w:iCs/>
          <w:sz w:val="24"/>
        </w:rPr>
        <w:t>=0.00001</w:t>
      </w:r>
      <w:r>
        <w:rPr>
          <w:sz w:val="24"/>
        </w:rPr>
        <w:t>℃</w:t>
      </w:r>
      <w:r>
        <w:rPr>
          <w:rFonts w:hint="eastAsia"/>
          <w:sz w:val="24"/>
        </w:rPr>
        <w:t>/min</w:t>
      </w:r>
    </w:p>
    <w:p w14:paraId="097889DB">
      <w:pPr>
        <w:spacing w:line="360" w:lineRule="auto"/>
        <w:ind w:firstLine="420"/>
        <w:rPr>
          <w:sz w:val="24"/>
        </w:rPr>
      </w:pPr>
      <w:r>
        <w:rPr>
          <w:rFonts w:hint="eastAsia"/>
          <w:sz w:val="24"/>
        </w:rPr>
        <w:t>标准样块比热容的最大允许误差为±3%</w:t>
      </w:r>
      <w:r>
        <w:t>，</w:t>
      </w:r>
      <w:r>
        <w:rPr>
          <w:bCs/>
          <w:sz w:val="24"/>
        </w:rPr>
        <w:t>按照</w:t>
      </w:r>
      <w:r>
        <w:rPr>
          <w:sz w:val="24"/>
        </w:rPr>
        <w:t>均匀分布，置信因子</w:t>
      </w:r>
      <w:r>
        <w:rPr>
          <w:position w:val="-8"/>
        </w:rPr>
        <w:object>
          <v:shape id="_x0000_i1055" o:spt="75" type="#_x0000_t75" style="height:18pt;width:36.75pt;" o:ole="t" filled="f" o:preferrelative="t" stroked="f" coordsize="21600,21600">
            <v:path/>
            <v:fill on="f" focussize="0,0"/>
            <v:stroke on="f" joinstyle="miter"/>
            <v:imagedata r:id="rId75" o:title=""/>
            <o:lock v:ext="edit" aspectratio="t"/>
            <w10:wrap type="none"/>
            <w10:anchorlock/>
          </v:shape>
          <o:OLEObject Type="Embed" ProgID="Equation.3" ShapeID="_x0000_i1055" DrawAspect="Content" ObjectID="_1468075755" r:id="rId76">
            <o:LockedField>false</o:LockedField>
          </o:OLEObject>
        </w:object>
      </w:r>
      <w:r>
        <w:rPr>
          <w:rFonts w:hint="eastAsia"/>
        </w:rPr>
        <w:t>，因此</w:t>
      </w:r>
      <w:r>
        <w:rPr>
          <w:rFonts w:hint="eastAsia"/>
          <w:sz w:val="24"/>
        </w:rPr>
        <w:t>测量标准样块比热容引入</w:t>
      </w:r>
      <w:r>
        <w:rPr>
          <w:sz w:val="24"/>
        </w:rPr>
        <w:t>的不确定度分量为：</w:t>
      </w:r>
    </w:p>
    <w:p w14:paraId="6A23495F">
      <w:pPr>
        <w:spacing w:line="360" w:lineRule="auto"/>
        <w:ind w:firstLine="420" w:firstLineChars="200"/>
        <w:jc w:val="center"/>
        <w:rPr>
          <w:sz w:val="24"/>
        </w:rPr>
      </w:pPr>
      <m:oMath>
        <m:r>
          <m:rPr/>
          <w:rPr>
            <w:rFonts w:ascii="Cambria Math" w:hAnsi="Cambria Math"/>
            <w:szCs w:val="21"/>
          </w:rPr>
          <m:t>(</m:t>
        </m:r>
        <m:f>
          <m:fPr>
            <m:ctrlPr>
              <w:rPr>
                <w:rFonts w:ascii="Cambria Math" w:hAnsi="Cambria Math"/>
                <w:i/>
                <w:iCs/>
                <w:szCs w:val="21"/>
              </w:rPr>
            </m:ctrlPr>
          </m:fPr>
          <m:num>
            <m:sSub>
              <m:sSubPr>
                <m:ctrlPr>
                  <w:rPr>
                    <w:rFonts w:ascii="Cambria Math" w:hAnsi="Cambria Math"/>
                    <w:i/>
                    <w:iCs/>
                    <w:szCs w:val="21"/>
                  </w:rPr>
                </m:ctrlPr>
              </m:sSubPr>
              <m:e>
                <m:r>
                  <m:rPr/>
                  <w:rPr>
                    <w:rFonts w:ascii="Cambria Math" w:hAnsi="Cambria Math"/>
                    <w:szCs w:val="21"/>
                  </w:rPr>
                  <m:t>60U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p>
              <m:sSupPr>
                <m:ctrlPr>
                  <w:rPr>
                    <w:rFonts w:ascii="Cambria Math" w:hAnsi="Cambria Math"/>
                    <w:i/>
                    <w:iCs/>
                    <w:szCs w:val="21"/>
                  </w:rPr>
                </m:ctrlPr>
              </m:sSupPr>
              <m:e>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ctrlPr>
                  <w:rPr>
                    <w:rFonts w:ascii="Cambria Math" w:hAnsi="Cambria Math"/>
                    <w:i/>
                    <w:iCs/>
                    <w:szCs w:val="21"/>
                  </w:rPr>
                </m:ctrlPr>
              </m:e>
              <m:sup>
                <m:r>
                  <m:rPr/>
                  <w:rPr>
                    <w:rFonts w:ascii="Cambria Math" w:hAnsi="Cambria Math"/>
                    <w:szCs w:val="21"/>
                  </w:rPr>
                  <m:t>2</m:t>
                </m:r>
                <m:ctrlPr>
                  <w:rPr>
                    <w:rFonts w:ascii="Cambria Math" w:hAnsi="Cambria Math"/>
                    <w:i/>
                    <w:iCs/>
                    <w:szCs w:val="21"/>
                  </w:rPr>
                </m:ctrlPr>
              </m:sup>
            </m:sSup>
            <m:r>
              <m:rPr/>
              <w:rPr>
                <w:rFonts w:ascii="Cambria Math" w:hAnsi="Cambria Math"/>
                <w:szCs w:val="21"/>
              </w:rPr>
              <m:t>m</m:t>
            </m:r>
            <m:ctrlPr>
              <w:rPr>
                <w:rFonts w:ascii="Cambria Math" w:hAnsi="Cambria Math"/>
                <w:i/>
                <w:iCs/>
                <w:szCs w:val="21"/>
              </w:rPr>
            </m:ctrlPr>
          </m:den>
        </m:f>
        <m:r>
          <m:rPr/>
          <w:rPr>
            <w:rFonts w:ascii="Cambria Math" w:hAnsi="Cambria Math"/>
            <w:szCs w:val="21"/>
          </w:rPr>
          <m:t>)</m:t>
        </m:r>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ctrlPr>
              <w:rPr>
                <w:rFonts w:ascii="Cambria Math" w:hAnsi="Cambria Math" w:eastAsiaTheme="minorEastAsia"/>
                <w:i/>
                <w:sz w:val="18"/>
                <w:szCs w:val="21"/>
              </w:rPr>
            </m:ctrlPr>
          </m:e>
        </m:d>
      </m:oMath>
      <w:r>
        <w:rPr>
          <w:rFonts w:hint="eastAsia"/>
          <w:sz w:val="18"/>
          <w:szCs w:val="21"/>
        </w:rPr>
        <w:t>=</w:t>
      </w:r>
      <m:oMath>
        <m:f>
          <m:fPr>
            <m:ctrlPr>
              <w:rPr>
                <w:rFonts w:ascii="Cambria Math" w:hAnsi="Cambria Math" w:eastAsiaTheme="minorEastAsia"/>
                <w:i/>
              </w:rPr>
            </m:ctrlPr>
          </m:fPr>
          <m:num>
            <m:r>
              <m:rPr/>
              <w:rPr>
                <w:rFonts w:ascii="Cambria Math" w:hAnsi="Cambria Math" w:eastAsiaTheme="minorEastAsia"/>
              </w:rPr>
              <m:t>60×0.15∗1.5</m:t>
            </m:r>
            <m:ctrlPr>
              <w:rPr>
                <w:rFonts w:ascii="Cambria Math" w:hAnsi="Cambria Math" w:eastAsiaTheme="minorEastAsia"/>
                <w:i/>
              </w:rPr>
            </m:ctrlPr>
          </m:num>
          <m:den>
            <m:sSup>
              <m:sSupPr>
                <m:ctrlPr>
                  <w:rPr>
                    <w:rFonts w:ascii="Cambria Math" w:hAnsi="Cambria Math" w:eastAsiaTheme="minorEastAsia"/>
                    <w:i/>
                  </w:rPr>
                </m:ctrlPr>
              </m:sSupPr>
              <m:e>
                <m:r>
                  <m:rPr/>
                  <w:rPr>
                    <w:rFonts w:ascii="Cambria Math" w:hAnsi="Cambria Math" w:eastAsiaTheme="minorEastAsia"/>
                  </w:rPr>
                  <m:t>910</m:t>
                </m:r>
                <m:ctrlPr>
                  <w:rPr>
                    <w:rFonts w:ascii="Cambria Math" w:hAnsi="Cambria Math" w:eastAsiaTheme="minorEastAsia"/>
                    <w:i/>
                  </w:rPr>
                </m:ctrlPr>
              </m:e>
              <m:sup>
                <m:r>
                  <m:rPr/>
                  <w:rPr>
                    <w:rFonts w:ascii="Cambria Math" w:hAnsi="Cambria Math" w:eastAsiaTheme="minorEastAsia"/>
                  </w:rPr>
                  <m:t>2</m:t>
                </m:r>
                <m:ctrlPr>
                  <w:rPr>
                    <w:rFonts w:ascii="Cambria Math" w:hAnsi="Cambria Math" w:eastAsiaTheme="minorEastAsia"/>
                    <w:i/>
                  </w:rPr>
                </m:ctrlPr>
              </m:sup>
            </m:sSup>
            <m:r>
              <m:rPr/>
              <w:rPr>
                <w:rFonts w:ascii="Cambria Math" w:hAnsi="Cambria Math" w:eastAsiaTheme="minorEastAsia"/>
              </w:rPr>
              <m:t>×1.5</m:t>
            </m:r>
            <m:ctrlPr>
              <w:rPr>
                <w:rFonts w:ascii="Cambria Math" w:hAnsi="Cambria Math" w:eastAsiaTheme="minorEastAsia"/>
                <w:i/>
              </w:rPr>
            </m:ctrlPr>
          </m:den>
        </m:f>
        <m:r>
          <m:rPr/>
          <w:rPr>
            <w:rFonts w:ascii="Cambria Math" w:hAnsi="Cambria Math" w:eastAsiaTheme="minorEastAsia"/>
          </w:rPr>
          <m:t>×</m:t>
        </m:r>
        <m:f>
          <m:fPr>
            <m:ctrlPr>
              <w:rPr>
                <w:rFonts w:ascii="Cambria Math" w:hAnsi="Cambria Math"/>
                <w:bCs/>
                <w:sz w:val="24"/>
              </w:rPr>
            </m:ctrlPr>
          </m:fPr>
          <m:num>
            <m:r>
              <m:rPr>
                <m:sty m:val="p"/>
              </m:rPr>
              <w:rPr>
                <w:rFonts w:ascii="Cambria Math" w:hAnsi="Cambria Math"/>
                <w:sz w:val="24"/>
              </w:rPr>
              <m:t>3%</m:t>
            </m:r>
            <m:r>
              <m:rPr>
                <m:sty m:val="p"/>
              </m:rPr>
              <w:rPr>
                <w:rFonts w:ascii="Cambria Math" w:hAnsi="Cambria Math" w:eastAsia="MS Gothic" w:cs="MS Gothic"/>
                <w:sz w:val="24"/>
              </w:rPr>
              <m:t>×</m:t>
            </m:r>
            <m:r>
              <m:rPr>
                <m:sty m:val="p"/>
              </m:rPr>
              <w:rPr>
                <w:rFonts w:ascii="Cambria Math"/>
                <w:sz w:val="24"/>
              </w:rPr>
              <m:t>910</m:t>
            </m:r>
            <m:ctrlPr>
              <w:rPr>
                <w:rFonts w:ascii="Cambria Math" w:hAnsi="Cambria Math"/>
                <w:bCs/>
                <w:sz w:val="24"/>
              </w:rPr>
            </m:ctrlPr>
          </m:num>
          <m:den>
            <m:rad>
              <m:radPr>
                <m:degHide m:val="1"/>
                <m:ctrlPr>
                  <w:rPr>
                    <w:rFonts w:ascii="Cambria Math" w:hAnsi="Cambria Math"/>
                    <w:bCs/>
                    <w:i/>
                    <w:sz w:val="24"/>
                  </w:rPr>
                </m:ctrlPr>
              </m:radPr>
              <m:deg>
                <m:ctrlPr>
                  <w:rPr>
                    <w:rFonts w:ascii="Cambria Math" w:hAnsi="Cambria Math"/>
                    <w:bCs/>
                    <w:i/>
                    <w:sz w:val="24"/>
                  </w:rPr>
                </m:ctrlPr>
              </m:deg>
              <m:e>
                <m:r>
                  <m:rPr/>
                  <w:rPr>
                    <w:rFonts w:ascii="Cambria Math" w:hAnsi="Cambria Math"/>
                    <w:sz w:val="24"/>
                  </w:rPr>
                  <m:t>3</m:t>
                </m:r>
                <m:ctrlPr>
                  <w:rPr>
                    <w:rFonts w:ascii="Cambria Math" w:hAnsi="Cambria Math"/>
                    <w:bCs/>
                    <w:i/>
                    <w:sz w:val="24"/>
                  </w:rPr>
                </m:ctrlPr>
              </m:e>
            </m:rad>
            <m:ctrlPr>
              <w:rPr>
                <w:rFonts w:ascii="Cambria Math" w:hAnsi="Cambria Math"/>
                <w:bCs/>
                <w:sz w:val="24"/>
              </w:rPr>
            </m:ctrlPr>
          </m:den>
        </m:f>
      </m:oMath>
      <w:r>
        <w:rPr>
          <w:rFonts w:hint="eastAsia"/>
          <w:bCs/>
          <w:iCs/>
          <w:sz w:val="24"/>
        </w:rPr>
        <w:t>=</w:t>
      </w:r>
      <w:r>
        <w:rPr>
          <w:sz w:val="24"/>
        </w:rPr>
        <w:t>0.</w:t>
      </w:r>
      <w:r>
        <w:rPr>
          <w:rFonts w:hint="eastAsia"/>
          <w:sz w:val="24"/>
        </w:rPr>
        <w:t>00017</w:t>
      </w:r>
      <w:r>
        <w:rPr>
          <w:sz w:val="24"/>
        </w:rPr>
        <w:t>℃</w:t>
      </w:r>
      <w:r>
        <w:rPr>
          <w:rFonts w:hint="eastAsia"/>
          <w:sz w:val="24"/>
        </w:rPr>
        <w:t>/min</w:t>
      </w:r>
    </w:p>
    <w:p w14:paraId="372C377F">
      <w:pPr>
        <w:spacing w:line="360" w:lineRule="auto"/>
        <w:ind w:firstLine="420"/>
        <w:rPr>
          <w:sz w:val="24"/>
        </w:rPr>
      </w:pPr>
      <w:r>
        <w:rPr>
          <w:rFonts w:hint="eastAsia"/>
          <w:sz w:val="24"/>
        </w:rPr>
        <w:t>标准样块质量的最大允许误差为15mg</w:t>
      </w:r>
      <w:r>
        <w:t>，</w:t>
      </w:r>
      <w:r>
        <w:rPr>
          <w:bCs/>
          <w:sz w:val="24"/>
        </w:rPr>
        <w:t>按照</w:t>
      </w:r>
      <w:r>
        <w:rPr>
          <w:sz w:val="24"/>
        </w:rPr>
        <w:t>均匀分布，置信因子</w:t>
      </w:r>
      <w:r>
        <w:rPr>
          <w:position w:val="-8"/>
        </w:rPr>
        <w:object>
          <v:shape id="_x0000_i1056" o:spt="75" type="#_x0000_t75" style="height:18pt;width:36.75pt;" o:ole="t" filled="f" o:preferrelative="t" stroked="f" coordsize="21600,21600">
            <v:path/>
            <v:fill on="f" focussize="0,0"/>
            <v:stroke on="f" joinstyle="miter"/>
            <v:imagedata r:id="rId75" o:title=""/>
            <o:lock v:ext="edit" aspectratio="t"/>
            <w10:wrap type="none"/>
            <w10:anchorlock/>
          </v:shape>
          <o:OLEObject Type="Embed" ProgID="Equation.3" ShapeID="_x0000_i1056" DrawAspect="Content" ObjectID="_1468075756" r:id="rId77">
            <o:LockedField>false</o:LockedField>
          </o:OLEObject>
        </w:object>
      </w:r>
      <w:r>
        <w:rPr>
          <w:rFonts w:hint="eastAsia"/>
        </w:rPr>
        <w:t>，因此</w:t>
      </w:r>
      <w:r>
        <w:rPr>
          <w:rFonts w:hint="eastAsia"/>
          <w:sz w:val="24"/>
        </w:rPr>
        <w:t>测量标准样块质量引入</w:t>
      </w:r>
      <w:r>
        <w:rPr>
          <w:sz w:val="24"/>
        </w:rPr>
        <w:t>的不确定度分量为：</w:t>
      </w:r>
    </w:p>
    <w:p w14:paraId="77928D8C">
      <w:pPr>
        <w:spacing w:line="360" w:lineRule="auto"/>
        <w:ind w:firstLine="420" w:firstLineChars="200"/>
        <w:jc w:val="center"/>
        <w:rPr>
          <w:sz w:val="24"/>
        </w:rPr>
      </w:pPr>
      <m:oMath>
        <m:d>
          <m:dPr>
            <m:ctrlPr>
              <w:rPr>
                <w:rFonts w:ascii="Cambria Math" w:hAnsi="Cambria Math"/>
                <w:i/>
                <w:iCs/>
                <w:szCs w:val="21"/>
              </w:rPr>
            </m:ctrlPr>
          </m:dPr>
          <m:e>
            <m:f>
              <m:fPr>
                <m:ctrlPr>
                  <w:rPr>
                    <w:rFonts w:ascii="Cambria Math" w:hAnsi="Cambria Math"/>
                    <w:i/>
                    <w:iCs/>
                    <w:szCs w:val="21"/>
                  </w:rPr>
                </m:ctrlPr>
              </m:fPr>
              <m:num>
                <m:sSub>
                  <m:sSubPr>
                    <m:ctrlPr>
                      <w:rPr>
                        <w:rFonts w:ascii="Cambria Math" w:hAnsi="Cambria Math"/>
                        <w:i/>
                        <w:iCs/>
                        <w:szCs w:val="21"/>
                      </w:rPr>
                    </m:ctrlPr>
                  </m:sSubPr>
                  <m:e>
                    <m:r>
                      <m:rPr/>
                      <w:rPr>
                        <w:rFonts w:ascii="Cambria Math" w:hAnsi="Cambria Math"/>
                        <w:szCs w:val="21"/>
                      </w:rPr>
                      <m:t>60U</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sSub>
                  <m:sSubPr>
                    <m:ctrlPr>
                      <w:rPr>
                        <w:rFonts w:ascii="Cambria Math" w:hAnsi="Cambria Math"/>
                        <w:i/>
                        <w:iCs/>
                        <w:szCs w:val="21"/>
                      </w:rPr>
                    </m:ctrlPr>
                  </m:sSubPr>
                  <m:e>
                    <m:r>
                      <m:rPr/>
                      <w:rPr>
                        <w:rFonts w:ascii="Cambria Math" w:hAnsi="Cambria Math"/>
                        <w:szCs w:val="21"/>
                      </w:rPr>
                      <m:t>I</m:t>
                    </m:r>
                    <m:ctrlPr>
                      <w:rPr>
                        <w:rFonts w:ascii="Cambria Math" w:hAnsi="Cambria Math"/>
                        <w:i/>
                        <w:iCs/>
                        <w:szCs w:val="21"/>
                      </w:rPr>
                    </m:ctrlPr>
                  </m:e>
                  <m:sub>
                    <m:r>
                      <m:rPr/>
                      <w:rPr>
                        <w:rFonts w:ascii="Cambria Math" w:hAnsi="Cambria Math"/>
                        <w:szCs w:val="21"/>
                      </w:rPr>
                      <m:t>m</m:t>
                    </m:r>
                    <m:ctrlPr>
                      <w:rPr>
                        <w:rFonts w:ascii="Cambria Math" w:hAnsi="Cambria Math"/>
                        <w:i/>
                        <w:iCs/>
                        <w:szCs w:val="21"/>
                      </w:rPr>
                    </m:ctrlPr>
                  </m:sub>
                </m:sSub>
                <m:ctrlPr>
                  <w:rPr>
                    <w:rFonts w:ascii="Cambria Math" w:hAnsi="Cambria Math"/>
                    <w:i/>
                    <w:iCs/>
                    <w:szCs w:val="21"/>
                  </w:rPr>
                </m:ctrlPr>
              </m:num>
              <m:den>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hint="eastAsia" w:ascii="Cambria Math" w:hAnsi="Cambria Math"/>
                        <w:szCs w:val="21"/>
                      </w:rPr>
                      <m:t>p</m:t>
                    </m:r>
                    <m:ctrlPr>
                      <w:rPr>
                        <w:rFonts w:ascii="Cambria Math" w:hAnsi="Cambria Math"/>
                        <w:i/>
                        <w:iCs/>
                        <w:szCs w:val="21"/>
                      </w:rPr>
                    </m:ctrlPr>
                  </m:sub>
                </m:sSub>
                <m:sSup>
                  <m:sSupPr>
                    <m:ctrlPr>
                      <w:rPr>
                        <w:rFonts w:ascii="Cambria Math" w:hAnsi="Cambria Math"/>
                        <w:i/>
                        <w:iCs/>
                        <w:szCs w:val="21"/>
                      </w:rPr>
                    </m:ctrlPr>
                  </m:sSupPr>
                  <m:e>
                    <m:r>
                      <m:rPr/>
                      <w:rPr>
                        <w:rFonts w:ascii="Cambria Math" w:hAnsi="Cambria Math"/>
                        <w:szCs w:val="21"/>
                      </w:rPr>
                      <m:t>m</m:t>
                    </m:r>
                    <m:ctrlPr>
                      <w:rPr>
                        <w:rFonts w:ascii="Cambria Math" w:hAnsi="Cambria Math"/>
                        <w:i/>
                        <w:iCs/>
                        <w:szCs w:val="21"/>
                      </w:rPr>
                    </m:ctrlPr>
                  </m:e>
                  <m:sup>
                    <m:r>
                      <m:rPr/>
                      <w:rPr>
                        <w:rFonts w:ascii="Cambria Math" w:hAnsi="Cambria Math"/>
                        <w:szCs w:val="21"/>
                      </w:rPr>
                      <m:t>2</m:t>
                    </m:r>
                    <m:ctrlPr>
                      <w:rPr>
                        <w:rFonts w:ascii="Cambria Math" w:hAnsi="Cambria Math"/>
                        <w:i/>
                        <w:iCs/>
                        <w:szCs w:val="21"/>
                      </w:rPr>
                    </m:ctrlPr>
                  </m:sup>
                </m:sSup>
                <m:ctrlPr>
                  <w:rPr>
                    <w:rFonts w:ascii="Cambria Math" w:hAnsi="Cambria Math"/>
                    <w:i/>
                    <w:iCs/>
                    <w:szCs w:val="21"/>
                  </w:rPr>
                </m:ctrlPr>
              </m:den>
            </m:f>
            <m:ctrlPr>
              <w:rPr>
                <w:rFonts w:ascii="Cambria Math" w:hAnsi="Cambria Math"/>
                <w:i/>
                <w:iCs/>
                <w:szCs w:val="21"/>
              </w:rPr>
            </m:ctrlPr>
          </m:e>
        </m:d>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r>
              <m:rPr/>
              <w:rPr>
                <w:rFonts w:ascii="Cambria Math" w:hAnsi="Cambria Math"/>
                <w:szCs w:val="21"/>
              </w:rPr>
              <m:t>m</m:t>
            </m:r>
            <m:ctrlPr>
              <w:rPr>
                <w:rFonts w:ascii="Cambria Math" w:hAnsi="Cambria Math" w:eastAsiaTheme="minorEastAsia"/>
                <w:i/>
                <w:sz w:val="18"/>
                <w:szCs w:val="21"/>
              </w:rPr>
            </m:ctrlPr>
          </m:e>
        </m:d>
        <m:r>
          <m:rPr/>
          <w:rPr>
            <w:rFonts w:ascii="Cambria Math" w:hAnsi="Cambria Math" w:eastAsiaTheme="minorEastAsia"/>
            <w:sz w:val="18"/>
            <w:szCs w:val="21"/>
          </w:rPr>
          <m:t>=</m:t>
        </m:r>
        <m:f>
          <m:fPr>
            <m:ctrlPr>
              <w:rPr>
                <w:rFonts w:ascii="Cambria Math" w:hAnsi="Cambria Math" w:eastAsiaTheme="minorEastAsia"/>
                <w:i/>
              </w:rPr>
            </m:ctrlPr>
          </m:fPr>
          <m:num>
            <m:r>
              <m:rPr/>
              <w:rPr>
                <w:rFonts w:ascii="Cambria Math" w:hAnsi="Cambria Math" w:eastAsiaTheme="minorEastAsia"/>
              </w:rPr>
              <m:t>60×0.15∗1.5</m:t>
            </m:r>
            <m:ctrlPr>
              <w:rPr>
                <w:rFonts w:ascii="Cambria Math" w:hAnsi="Cambria Math" w:eastAsiaTheme="minorEastAsia"/>
                <w:i/>
              </w:rPr>
            </m:ctrlPr>
          </m:num>
          <m:den>
            <m:r>
              <m:rPr/>
              <w:rPr>
                <w:rFonts w:ascii="Cambria Math" w:hAnsi="Cambria Math" w:eastAsiaTheme="minorEastAsia"/>
              </w:rPr>
              <m:t>910×</m:t>
            </m:r>
            <m:sSup>
              <m:sSupPr>
                <m:ctrlPr>
                  <w:rPr>
                    <w:rFonts w:ascii="Cambria Math" w:hAnsi="Cambria Math" w:eastAsiaTheme="minorEastAsia"/>
                    <w:i/>
                  </w:rPr>
                </m:ctrlPr>
              </m:sSupPr>
              <m:e>
                <m:r>
                  <m:rPr/>
                  <w:rPr>
                    <w:rFonts w:ascii="Cambria Math" w:hAnsi="Cambria Math" w:eastAsiaTheme="minorEastAsia"/>
                  </w:rPr>
                  <m:t>1.5</m:t>
                </m:r>
                <m:ctrlPr>
                  <w:rPr>
                    <w:rFonts w:ascii="Cambria Math" w:hAnsi="Cambria Math" w:eastAsiaTheme="minorEastAsia"/>
                    <w:i/>
                  </w:rPr>
                </m:ctrlPr>
              </m:e>
              <m:sup>
                <m:r>
                  <m:rPr/>
                  <w:rPr>
                    <w:rFonts w:ascii="Cambria Math" w:hAnsi="Cambria Math" w:eastAsiaTheme="minorEastAsia"/>
                  </w:rPr>
                  <m:t>2</m:t>
                </m:r>
                <m:ctrlPr>
                  <w:rPr>
                    <w:rFonts w:ascii="Cambria Math" w:hAnsi="Cambria Math" w:eastAsiaTheme="minorEastAsia"/>
                    <w:i/>
                  </w:rPr>
                </m:ctrlPr>
              </m:sup>
            </m:sSup>
            <m:ctrlPr>
              <w:rPr>
                <w:rFonts w:ascii="Cambria Math" w:hAnsi="Cambria Math" w:eastAsiaTheme="minorEastAsia"/>
                <w:i/>
              </w:rPr>
            </m:ctrlPr>
          </m:den>
        </m:f>
        <m:r>
          <m:rPr/>
          <w:rPr>
            <w:rFonts w:ascii="Cambria Math" w:hAnsi="Cambria Math" w:eastAsiaTheme="minorEastAsia"/>
          </w:rPr>
          <m:t>×</m:t>
        </m:r>
        <m:f>
          <m:fPr>
            <m:ctrlPr>
              <w:rPr>
                <w:rFonts w:ascii="Cambria Math" w:hAnsi="Cambria Math"/>
                <w:bCs/>
                <w:sz w:val="24"/>
              </w:rPr>
            </m:ctrlPr>
          </m:fPr>
          <m:num>
            <m:r>
              <m:rPr>
                <m:sty m:val="p"/>
              </m:rPr>
              <w:rPr>
                <w:rFonts w:ascii="Cambria Math" w:hAnsi="Cambria Math"/>
                <w:sz w:val="24"/>
              </w:rPr>
              <m:t>0.015</m:t>
            </m:r>
            <m:ctrlPr>
              <w:rPr>
                <w:rFonts w:ascii="Cambria Math" w:hAnsi="Cambria Math"/>
                <w:bCs/>
                <w:sz w:val="24"/>
              </w:rPr>
            </m:ctrlPr>
          </m:num>
          <m:den>
            <m:rad>
              <m:radPr>
                <m:degHide m:val="1"/>
                <m:ctrlPr>
                  <w:rPr>
                    <w:rFonts w:ascii="Cambria Math" w:hAnsi="Cambria Math"/>
                    <w:bCs/>
                    <w:i/>
                    <w:sz w:val="24"/>
                  </w:rPr>
                </m:ctrlPr>
              </m:radPr>
              <m:deg>
                <m:ctrlPr>
                  <w:rPr>
                    <w:rFonts w:ascii="Cambria Math" w:hAnsi="Cambria Math"/>
                    <w:bCs/>
                    <w:i/>
                    <w:sz w:val="24"/>
                  </w:rPr>
                </m:ctrlPr>
              </m:deg>
              <m:e>
                <m:r>
                  <m:rPr/>
                  <w:rPr>
                    <w:rFonts w:ascii="Cambria Math" w:hAnsi="Cambria Math"/>
                    <w:sz w:val="24"/>
                  </w:rPr>
                  <m:t>3</m:t>
                </m:r>
                <m:ctrlPr>
                  <w:rPr>
                    <w:rFonts w:ascii="Cambria Math" w:hAnsi="Cambria Math"/>
                    <w:bCs/>
                    <w:i/>
                    <w:sz w:val="24"/>
                  </w:rPr>
                </m:ctrlPr>
              </m:e>
            </m:rad>
            <m:ctrlPr>
              <w:rPr>
                <w:rFonts w:ascii="Cambria Math" w:hAnsi="Cambria Math"/>
                <w:bCs/>
                <w:sz w:val="24"/>
              </w:rPr>
            </m:ctrlPr>
          </m:den>
        </m:f>
      </m:oMath>
      <w:r>
        <w:rPr>
          <w:rFonts w:hint="eastAsia"/>
          <w:bCs/>
          <w:sz w:val="24"/>
        </w:rPr>
        <w:t>=</w:t>
      </w:r>
      <w:r>
        <w:rPr>
          <w:rFonts w:hint="eastAsia"/>
          <w:bCs/>
          <w:iCs/>
          <w:sz w:val="24"/>
        </w:rPr>
        <w:t>0.00006</w:t>
      </w:r>
      <w:r>
        <w:rPr>
          <w:sz w:val="24"/>
        </w:rPr>
        <w:t>℃</w:t>
      </w:r>
      <w:r>
        <w:rPr>
          <w:rFonts w:hint="eastAsia"/>
          <w:sz w:val="24"/>
        </w:rPr>
        <w:t>/min</w:t>
      </w:r>
    </w:p>
    <w:p w14:paraId="08CE1592">
      <w:pPr>
        <w:pStyle w:val="47"/>
        <w:wordWrap/>
        <w:spacing w:before="156" w:after="156" w:line="360" w:lineRule="auto"/>
        <w:ind w:right="-105"/>
        <w:outlineLvl w:val="9"/>
        <w:rPr>
          <w:rFonts w:ascii="Times New Roman" w:eastAsia="宋体"/>
          <w:sz w:val="24"/>
          <w:szCs w:val="24"/>
        </w:rPr>
      </w:pPr>
      <w:bookmarkStart w:id="119" w:name="_Toc3438"/>
      <w:bookmarkStart w:id="120" w:name="_Toc756"/>
      <w:bookmarkStart w:id="121" w:name="_Toc27464"/>
      <w:bookmarkStart w:id="122" w:name="_Toc17881"/>
      <w:bookmarkStart w:id="123" w:name="_Toc13558"/>
      <w:bookmarkStart w:id="124" w:name="_Toc184838699"/>
      <w:r>
        <w:rPr>
          <w:rFonts w:hint="eastAsia" w:ascii="Times New Roman" w:eastAsia="宋体"/>
          <w:sz w:val="24"/>
          <w:szCs w:val="24"/>
        </w:rPr>
        <w:t xml:space="preserve">A.4.3 </w:t>
      </w:r>
      <w:r>
        <w:rPr>
          <w:rFonts w:ascii="Times New Roman" w:eastAsia="宋体"/>
          <w:sz w:val="24"/>
          <w:szCs w:val="24"/>
        </w:rPr>
        <w:t>不确定度分量一览表</w:t>
      </w:r>
      <w:bookmarkEnd w:id="119"/>
      <w:bookmarkEnd w:id="120"/>
      <w:bookmarkEnd w:id="121"/>
      <w:bookmarkEnd w:id="122"/>
      <w:bookmarkEnd w:id="123"/>
      <w:bookmarkEnd w:id="124"/>
    </w:p>
    <w:p w14:paraId="7F99989B">
      <w:pPr>
        <w:spacing w:line="360" w:lineRule="auto"/>
        <w:ind w:firstLine="480" w:firstLineChars="200"/>
        <w:rPr>
          <w:sz w:val="24"/>
        </w:rPr>
      </w:pPr>
      <w:r>
        <w:rPr>
          <w:sz w:val="24"/>
        </w:rPr>
        <w:t>不确定度分量见表A.2。</w:t>
      </w:r>
    </w:p>
    <w:p w14:paraId="1D8A0A2D">
      <w:pPr>
        <w:pStyle w:val="48"/>
        <w:spacing w:line="360" w:lineRule="auto"/>
        <w:rPr>
          <w:rFonts w:ascii="Times New Roman"/>
        </w:rPr>
      </w:pPr>
      <w:r>
        <w:rPr>
          <w:rFonts w:ascii="Times New Roman"/>
        </w:rPr>
        <w:t xml:space="preserve">表A.2  </w:t>
      </w:r>
      <w:r>
        <w:rPr>
          <w:rFonts w:hint="eastAsia" w:ascii="Times New Roman"/>
        </w:rPr>
        <w:t>反应热相对</w:t>
      </w:r>
      <w:r>
        <w:rPr>
          <w:rFonts w:ascii="Times New Roman"/>
        </w:rPr>
        <w:t>误差校准不确定度分量表</w:t>
      </w:r>
    </w:p>
    <w:tbl>
      <w:tblPr>
        <w:tblStyle w:val="20"/>
        <w:tblW w:w="8548" w:type="dxa"/>
        <w:jc w:val="center"/>
        <w:tblLayout w:type="fixed"/>
        <w:tblCellMar>
          <w:top w:w="0" w:type="dxa"/>
          <w:left w:w="108" w:type="dxa"/>
          <w:bottom w:w="0" w:type="dxa"/>
          <w:right w:w="108" w:type="dxa"/>
        </w:tblCellMar>
      </w:tblPr>
      <w:tblGrid>
        <w:gridCol w:w="2099"/>
        <w:gridCol w:w="1440"/>
        <w:gridCol w:w="1134"/>
        <w:gridCol w:w="598"/>
        <w:gridCol w:w="1037"/>
        <w:gridCol w:w="681"/>
        <w:gridCol w:w="1559"/>
      </w:tblGrid>
      <w:tr w14:paraId="04534A72">
        <w:tblPrEx>
          <w:tblCellMar>
            <w:top w:w="0" w:type="dxa"/>
            <w:left w:w="108" w:type="dxa"/>
            <w:bottom w:w="0" w:type="dxa"/>
            <w:right w:w="108" w:type="dxa"/>
          </w:tblCellMar>
        </w:tblPrEx>
        <w:trPr>
          <w:trHeight w:val="585" w:hRule="atLeast"/>
          <w:jc w:val="center"/>
        </w:trPr>
        <w:tc>
          <w:tcPr>
            <w:tcW w:w="2099" w:type="dxa"/>
            <w:tcBorders>
              <w:top w:val="single" w:color="auto" w:sz="4" w:space="0"/>
              <w:left w:val="single" w:color="auto" w:sz="4" w:space="0"/>
              <w:bottom w:val="single" w:color="auto" w:sz="4" w:space="0"/>
              <w:right w:val="single" w:color="auto" w:sz="4" w:space="0"/>
            </w:tcBorders>
            <w:shd w:val="clear" w:color="auto" w:fill="auto"/>
            <w:vAlign w:val="center"/>
          </w:tcPr>
          <w:p w14:paraId="6B7F7471">
            <w:pPr>
              <w:widowControl/>
              <w:snapToGrid w:val="0"/>
              <w:spacing w:line="360" w:lineRule="auto"/>
              <w:jc w:val="center"/>
              <w:rPr>
                <w:kern w:val="0"/>
                <w:szCs w:val="21"/>
              </w:rPr>
            </w:pPr>
            <w:r>
              <w:rPr>
                <w:kern w:val="0"/>
                <w:szCs w:val="21"/>
              </w:rPr>
              <w:t>不确定度</w:t>
            </w:r>
            <w:r>
              <w:rPr>
                <w:szCs w:val="21"/>
              </w:rPr>
              <w:t>分量来源</w:t>
            </w:r>
          </w:p>
        </w:tc>
        <w:tc>
          <w:tcPr>
            <w:tcW w:w="1440" w:type="dxa"/>
            <w:tcBorders>
              <w:top w:val="single" w:color="auto" w:sz="4" w:space="0"/>
              <w:left w:val="nil"/>
              <w:bottom w:val="single" w:color="auto" w:sz="4" w:space="0"/>
              <w:right w:val="single" w:color="auto" w:sz="4" w:space="0"/>
            </w:tcBorders>
            <w:shd w:val="clear" w:color="auto" w:fill="auto"/>
            <w:vAlign w:val="center"/>
          </w:tcPr>
          <w:p w14:paraId="5FAAC5B9">
            <w:pPr>
              <w:widowControl/>
              <w:snapToGrid w:val="0"/>
              <w:spacing w:line="360" w:lineRule="auto"/>
              <w:jc w:val="center"/>
              <w:rPr>
                <w:kern w:val="0"/>
                <w:szCs w:val="21"/>
              </w:rPr>
            </w:pPr>
            <w:r>
              <w:rPr>
                <w:szCs w:val="21"/>
              </w:rPr>
              <w:t>分量符号</w:t>
            </w:r>
          </w:p>
        </w:tc>
        <w:tc>
          <w:tcPr>
            <w:tcW w:w="1134" w:type="dxa"/>
            <w:tcBorders>
              <w:top w:val="single" w:color="auto" w:sz="4" w:space="0"/>
              <w:left w:val="nil"/>
              <w:bottom w:val="single" w:color="auto" w:sz="4" w:space="0"/>
              <w:right w:val="single" w:color="auto" w:sz="4" w:space="0"/>
            </w:tcBorders>
            <w:shd w:val="clear" w:color="auto" w:fill="auto"/>
            <w:vAlign w:val="center"/>
          </w:tcPr>
          <w:p w14:paraId="5F735A46">
            <w:pPr>
              <w:widowControl/>
              <w:snapToGrid w:val="0"/>
              <w:spacing w:line="360" w:lineRule="auto"/>
              <w:jc w:val="center"/>
              <w:rPr>
                <w:kern w:val="0"/>
                <w:szCs w:val="21"/>
              </w:rPr>
            </w:pPr>
            <w:r>
              <w:rPr>
                <w:kern w:val="0"/>
                <w:szCs w:val="21"/>
              </w:rPr>
              <w:t>区间</w:t>
            </w:r>
            <w:r>
              <w:rPr>
                <w:bCs/>
                <w:kern w:val="0"/>
                <w:szCs w:val="21"/>
              </w:rPr>
              <w:t>半宽</w:t>
            </w:r>
            <w:r>
              <w:rPr>
                <w:kern w:val="0"/>
                <w:szCs w:val="21"/>
              </w:rPr>
              <w:t>或重复性数值</w:t>
            </w:r>
          </w:p>
        </w:tc>
        <w:tc>
          <w:tcPr>
            <w:tcW w:w="598" w:type="dxa"/>
            <w:tcBorders>
              <w:top w:val="single" w:color="auto" w:sz="4" w:space="0"/>
              <w:left w:val="nil"/>
              <w:bottom w:val="single" w:color="auto" w:sz="4" w:space="0"/>
              <w:right w:val="single" w:color="auto" w:sz="4" w:space="0"/>
            </w:tcBorders>
            <w:shd w:val="clear" w:color="auto" w:fill="auto"/>
            <w:vAlign w:val="center"/>
          </w:tcPr>
          <w:p w14:paraId="5BFF1088">
            <w:pPr>
              <w:widowControl/>
              <w:snapToGrid w:val="0"/>
              <w:spacing w:line="360" w:lineRule="auto"/>
              <w:jc w:val="center"/>
              <w:rPr>
                <w:kern w:val="0"/>
                <w:szCs w:val="21"/>
              </w:rPr>
            </w:pPr>
            <w:r>
              <w:rPr>
                <w:kern w:val="0"/>
                <w:szCs w:val="21"/>
              </w:rPr>
              <w:t>评定</w:t>
            </w:r>
            <w:r>
              <w:rPr>
                <w:szCs w:val="21"/>
              </w:rPr>
              <w:t>方法</w:t>
            </w:r>
          </w:p>
        </w:tc>
        <w:tc>
          <w:tcPr>
            <w:tcW w:w="1037" w:type="dxa"/>
            <w:tcBorders>
              <w:top w:val="single" w:color="auto" w:sz="4" w:space="0"/>
              <w:left w:val="nil"/>
              <w:bottom w:val="single" w:color="auto" w:sz="4" w:space="0"/>
              <w:right w:val="single" w:color="auto" w:sz="4" w:space="0"/>
            </w:tcBorders>
            <w:shd w:val="clear" w:color="auto" w:fill="auto"/>
            <w:vAlign w:val="center"/>
          </w:tcPr>
          <w:p w14:paraId="602A32CA">
            <w:pPr>
              <w:widowControl/>
              <w:snapToGrid w:val="0"/>
              <w:spacing w:line="360" w:lineRule="auto"/>
              <w:jc w:val="center"/>
              <w:rPr>
                <w:kern w:val="0"/>
                <w:szCs w:val="21"/>
              </w:rPr>
            </w:pPr>
            <w:r>
              <w:rPr>
                <w:kern w:val="0"/>
                <w:szCs w:val="21"/>
              </w:rPr>
              <w:t>概率分布</w:t>
            </w:r>
          </w:p>
        </w:tc>
        <w:tc>
          <w:tcPr>
            <w:tcW w:w="681" w:type="dxa"/>
            <w:tcBorders>
              <w:top w:val="single" w:color="auto" w:sz="4" w:space="0"/>
              <w:left w:val="nil"/>
              <w:bottom w:val="single" w:color="auto" w:sz="4" w:space="0"/>
              <w:right w:val="single" w:color="auto" w:sz="4" w:space="0"/>
            </w:tcBorders>
            <w:shd w:val="clear" w:color="auto" w:fill="auto"/>
            <w:vAlign w:val="center"/>
          </w:tcPr>
          <w:p w14:paraId="03CF10D8">
            <w:pPr>
              <w:widowControl/>
              <w:snapToGrid w:val="0"/>
              <w:spacing w:line="360" w:lineRule="auto"/>
              <w:jc w:val="center"/>
              <w:rPr>
                <w:kern w:val="0"/>
                <w:szCs w:val="21"/>
              </w:rPr>
            </w:pPr>
            <w:r>
              <w:rPr>
                <w:kern w:val="0"/>
                <w:szCs w:val="21"/>
              </w:rPr>
              <w:t>置信因子</w:t>
            </w:r>
          </w:p>
        </w:tc>
        <w:tc>
          <w:tcPr>
            <w:tcW w:w="1559" w:type="dxa"/>
            <w:tcBorders>
              <w:top w:val="single" w:color="auto" w:sz="4" w:space="0"/>
              <w:left w:val="nil"/>
              <w:bottom w:val="single" w:color="auto" w:sz="4" w:space="0"/>
              <w:right w:val="single" w:color="auto" w:sz="4" w:space="0"/>
            </w:tcBorders>
            <w:shd w:val="clear" w:color="auto" w:fill="auto"/>
            <w:vAlign w:val="center"/>
          </w:tcPr>
          <w:p w14:paraId="2ED4F2A9">
            <w:pPr>
              <w:widowControl/>
              <w:snapToGrid w:val="0"/>
              <w:spacing w:line="360" w:lineRule="auto"/>
              <w:jc w:val="center"/>
              <w:rPr>
                <w:kern w:val="0"/>
                <w:szCs w:val="21"/>
              </w:rPr>
            </w:pPr>
            <w:r>
              <w:rPr>
                <w:kern w:val="0"/>
                <w:szCs w:val="21"/>
              </w:rPr>
              <w:t>标准不确定度分量</w:t>
            </w:r>
          </w:p>
        </w:tc>
      </w:tr>
      <w:tr w14:paraId="46050582">
        <w:tblPrEx>
          <w:tblCellMar>
            <w:top w:w="0" w:type="dxa"/>
            <w:left w:w="108" w:type="dxa"/>
            <w:bottom w:w="0" w:type="dxa"/>
            <w:right w:w="108" w:type="dxa"/>
          </w:tblCellMar>
        </w:tblPrEx>
        <w:trPr>
          <w:trHeight w:val="495" w:hRule="atLeast"/>
          <w:jc w:val="center"/>
        </w:trPr>
        <w:tc>
          <w:tcPr>
            <w:tcW w:w="2099" w:type="dxa"/>
            <w:tcBorders>
              <w:top w:val="single" w:color="auto" w:sz="4" w:space="0"/>
              <w:left w:val="single" w:color="auto" w:sz="4" w:space="0"/>
              <w:bottom w:val="single" w:color="auto" w:sz="4" w:space="0"/>
              <w:right w:val="single" w:color="auto" w:sz="4" w:space="0"/>
            </w:tcBorders>
            <w:shd w:val="clear" w:color="auto" w:fill="auto"/>
            <w:vAlign w:val="center"/>
          </w:tcPr>
          <w:p w14:paraId="28CB5B56">
            <w:pPr>
              <w:snapToGrid w:val="0"/>
              <w:spacing w:line="360" w:lineRule="auto"/>
              <w:jc w:val="center"/>
              <w:rPr>
                <w:szCs w:val="21"/>
              </w:rPr>
            </w:pPr>
            <w:r>
              <w:rPr>
                <w:rFonts w:hint="eastAsia"/>
                <w:szCs w:val="21"/>
              </w:rPr>
              <w:t>自放热温升速率重复性</w:t>
            </w:r>
          </w:p>
        </w:tc>
        <w:tc>
          <w:tcPr>
            <w:tcW w:w="1440" w:type="dxa"/>
            <w:tcBorders>
              <w:top w:val="single" w:color="auto" w:sz="4" w:space="0"/>
              <w:left w:val="nil"/>
              <w:bottom w:val="single" w:color="auto" w:sz="4" w:space="0"/>
              <w:right w:val="single" w:color="auto" w:sz="4" w:space="0"/>
            </w:tcBorders>
            <w:shd w:val="clear" w:color="auto" w:fill="auto"/>
            <w:vAlign w:val="center"/>
          </w:tcPr>
          <w:p w14:paraId="5E513926">
            <w:pPr>
              <w:widowControl/>
              <w:snapToGrid w:val="0"/>
              <w:spacing w:line="360" w:lineRule="auto"/>
              <w:jc w:val="center"/>
              <w:rPr>
                <w:i/>
                <w:sz w:val="18"/>
                <w:szCs w:val="21"/>
              </w:rPr>
            </w:pPr>
            <m:oMathPara>
              <m:oMath>
                <m:r>
                  <m:rPr/>
                  <w:rPr>
                    <w:rFonts w:hint="eastAsia" w:ascii="Cambria Math" w:hAnsi="Cambria Math" w:eastAsiaTheme="minorEastAsia"/>
                    <w:sz w:val="18"/>
                    <w:szCs w:val="21"/>
                  </w:rPr>
                  <m:t>u</m:t>
                </m:r>
                <m:r>
                  <m:rPr/>
                  <w:rPr>
                    <w:rFonts w:ascii="Cambria Math" w:hAnsi="Cambria Math" w:eastAsiaTheme="minorEastAsia"/>
                    <w:sz w:val="18"/>
                    <w:szCs w:val="21"/>
                  </w:rPr>
                  <m:t>(</m:t>
                </m:r>
                <m:sSub>
                  <m:sSubPr>
                    <m:ctrlPr>
                      <w:rPr>
                        <w:rFonts w:ascii="Cambria Math" w:hAnsi="Cambria Math"/>
                        <w:i/>
                        <w:iCs/>
                        <w:sz w:val="18"/>
                        <w:szCs w:val="21"/>
                      </w:rPr>
                    </m:ctrlPr>
                  </m:sSubPr>
                  <m:e>
                    <m:r>
                      <m:rPr/>
                      <w:rPr>
                        <w:rFonts w:ascii="Cambria Math" w:hAnsi="Cambria Math"/>
                        <w:sz w:val="18"/>
                        <w:szCs w:val="21"/>
                      </w:rPr>
                      <m:t>v</m:t>
                    </m:r>
                    <m:ctrlPr>
                      <w:rPr>
                        <w:rFonts w:ascii="Cambria Math" w:hAnsi="Cambria Math"/>
                        <w:i/>
                        <w:iCs/>
                        <w:sz w:val="18"/>
                        <w:szCs w:val="21"/>
                      </w:rPr>
                    </m:ctrlPr>
                  </m:e>
                  <m:sub>
                    <m:r>
                      <m:rPr/>
                      <w:rPr>
                        <w:rFonts w:ascii="Cambria Math" w:hAnsi="Cambria Math"/>
                        <w:sz w:val="18"/>
                        <w:szCs w:val="21"/>
                      </w:rPr>
                      <m:t>m</m:t>
                    </m:r>
                    <m:ctrlPr>
                      <w:rPr>
                        <w:rFonts w:ascii="Cambria Math" w:hAnsi="Cambria Math"/>
                        <w:i/>
                        <w:iCs/>
                        <w:sz w:val="18"/>
                        <w:szCs w:val="21"/>
                      </w:rPr>
                    </m:ctrlPr>
                  </m:sub>
                </m:sSub>
                <m:r>
                  <m:rPr/>
                  <w:rPr>
                    <w:rFonts w:ascii="Cambria Math" w:hAnsi="Cambria Math" w:eastAsiaTheme="minorEastAsia"/>
                    <w:sz w:val="18"/>
                    <w:szCs w:val="21"/>
                  </w:rPr>
                  <m:t>)</m:t>
                </m:r>
              </m:oMath>
            </m:oMathPara>
          </w:p>
        </w:tc>
        <w:tc>
          <w:tcPr>
            <w:tcW w:w="1134" w:type="dxa"/>
            <w:tcBorders>
              <w:top w:val="single" w:color="auto" w:sz="4" w:space="0"/>
              <w:left w:val="nil"/>
              <w:bottom w:val="single" w:color="auto" w:sz="4" w:space="0"/>
              <w:right w:val="single" w:color="auto" w:sz="4" w:space="0"/>
            </w:tcBorders>
            <w:shd w:val="clear" w:color="auto" w:fill="auto"/>
            <w:vAlign w:val="center"/>
          </w:tcPr>
          <w:p w14:paraId="382A21F8">
            <w:pPr>
              <w:snapToGrid w:val="0"/>
              <w:spacing w:line="360" w:lineRule="auto"/>
              <w:jc w:val="center"/>
              <w:rPr>
                <w:szCs w:val="21"/>
              </w:rPr>
            </w:pPr>
            <w:r>
              <w:rPr>
                <w:sz w:val="24"/>
              </w:rPr>
              <w:t>0.</w:t>
            </w:r>
            <w:r>
              <w:rPr>
                <w:rFonts w:hint="eastAsia"/>
                <w:sz w:val="24"/>
              </w:rPr>
              <w:t>00049</w:t>
            </w:r>
          </w:p>
        </w:tc>
        <w:tc>
          <w:tcPr>
            <w:tcW w:w="598" w:type="dxa"/>
            <w:tcBorders>
              <w:top w:val="single" w:color="auto" w:sz="4" w:space="0"/>
              <w:left w:val="nil"/>
              <w:bottom w:val="single" w:color="auto" w:sz="4" w:space="0"/>
              <w:right w:val="single" w:color="auto" w:sz="4" w:space="0"/>
            </w:tcBorders>
            <w:shd w:val="clear" w:color="auto" w:fill="auto"/>
            <w:vAlign w:val="center"/>
          </w:tcPr>
          <w:p w14:paraId="23DB7760">
            <w:pPr>
              <w:snapToGrid w:val="0"/>
              <w:spacing w:line="360" w:lineRule="auto"/>
              <w:jc w:val="center"/>
              <w:rPr>
                <w:szCs w:val="21"/>
              </w:rPr>
            </w:pPr>
            <w:r>
              <w:rPr>
                <w:szCs w:val="21"/>
              </w:rPr>
              <w:t>A</w:t>
            </w:r>
          </w:p>
        </w:tc>
        <w:tc>
          <w:tcPr>
            <w:tcW w:w="1037" w:type="dxa"/>
            <w:tcBorders>
              <w:top w:val="single" w:color="auto" w:sz="4" w:space="0"/>
              <w:left w:val="nil"/>
              <w:bottom w:val="single" w:color="auto" w:sz="4" w:space="0"/>
              <w:right w:val="single" w:color="auto" w:sz="4" w:space="0"/>
            </w:tcBorders>
            <w:shd w:val="clear" w:color="auto" w:fill="auto"/>
            <w:vAlign w:val="center"/>
          </w:tcPr>
          <w:p w14:paraId="060844BB">
            <w:pPr>
              <w:pStyle w:val="15"/>
              <w:pBdr>
                <w:bottom w:val="none" w:color="auto" w:sz="0" w:space="0"/>
              </w:pBdr>
              <w:tabs>
                <w:tab w:val="clear" w:pos="4153"/>
                <w:tab w:val="clear" w:pos="8306"/>
              </w:tabs>
              <w:spacing w:line="360" w:lineRule="auto"/>
              <w:rPr>
                <w:sz w:val="21"/>
                <w:szCs w:val="21"/>
              </w:rPr>
            </w:pPr>
            <w:r>
              <w:rPr>
                <w:sz w:val="21"/>
                <w:szCs w:val="21"/>
              </w:rPr>
              <w:t>正态</w:t>
            </w:r>
          </w:p>
        </w:tc>
        <w:tc>
          <w:tcPr>
            <w:tcW w:w="681" w:type="dxa"/>
            <w:tcBorders>
              <w:top w:val="single" w:color="auto" w:sz="4" w:space="0"/>
              <w:left w:val="nil"/>
              <w:bottom w:val="single" w:color="auto" w:sz="4" w:space="0"/>
              <w:right w:val="single" w:color="auto" w:sz="4" w:space="0"/>
            </w:tcBorders>
            <w:shd w:val="clear" w:color="auto" w:fill="auto"/>
            <w:vAlign w:val="center"/>
          </w:tcPr>
          <w:p w14:paraId="4E95ABAC">
            <w:pPr>
              <w:snapToGrid w:val="0"/>
              <w:spacing w:line="360" w:lineRule="auto"/>
              <w:jc w:val="center"/>
              <w:rPr>
                <w:szCs w:val="21"/>
              </w:rPr>
            </w:pPr>
            <w:r>
              <w:rPr>
                <w:szCs w:val="21"/>
              </w:rPr>
              <w:t>——</w:t>
            </w:r>
          </w:p>
        </w:tc>
        <w:tc>
          <w:tcPr>
            <w:tcW w:w="1559" w:type="dxa"/>
            <w:tcBorders>
              <w:top w:val="single" w:color="auto" w:sz="4" w:space="0"/>
              <w:left w:val="nil"/>
              <w:bottom w:val="single" w:color="auto" w:sz="4" w:space="0"/>
              <w:right w:val="single" w:color="auto" w:sz="4" w:space="0"/>
            </w:tcBorders>
            <w:shd w:val="clear" w:color="auto" w:fill="auto"/>
            <w:vAlign w:val="center"/>
          </w:tcPr>
          <w:p w14:paraId="78E64F21">
            <w:pPr>
              <w:snapToGrid w:val="0"/>
              <w:spacing w:line="360" w:lineRule="auto"/>
              <w:jc w:val="center"/>
              <w:rPr>
                <w:szCs w:val="21"/>
              </w:rPr>
            </w:pPr>
            <w:r>
              <w:rPr>
                <w:sz w:val="24"/>
              </w:rPr>
              <w:t>0.</w:t>
            </w:r>
            <w:r>
              <w:rPr>
                <w:rFonts w:hint="eastAsia"/>
                <w:sz w:val="24"/>
              </w:rPr>
              <w:t>00049</w:t>
            </w:r>
          </w:p>
        </w:tc>
      </w:tr>
      <w:tr w14:paraId="1F67F852">
        <w:tblPrEx>
          <w:tblCellMar>
            <w:top w:w="0" w:type="dxa"/>
            <w:left w:w="108" w:type="dxa"/>
            <w:bottom w:w="0" w:type="dxa"/>
            <w:right w:w="108" w:type="dxa"/>
          </w:tblCellMar>
        </w:tblPrEx>
        <w:trPr>
          <w:trHeight w:val="408" w:hRule="atLeast"/>
          <w:jc w:val="center"/>
        </w:trPr>
        <w:tc>
          <w:tcPr>
            <w:tcW w:w="2099" w:type="dxa"/>
            <w:tcBorders>
              <w:top w:val="single" w:color="auto" w:sz="4" w:space="0"/>
              <w:left w:val="single" w:color="auto" w:sz="4" w:space="0"/>
              <w:bottom w:val="single" w:color="auto" w:sz="4" w:space="0"/>
              <w:right w:val="single" w:color="auto" w:sz="4" w:space="0"/>
            </w:tcBorders>
            <w:shd w:val="clear" w:color="auto" w:fill="auto"/>
            <w:vAlign w:val="center"/>
          </w:tcPr>
          <w:p w14:paraId="2FBE30C1">
            <w:pPr>
              <w:snapToGrid w:val="0"/>
              <w:spacing w:line="360" w:lineRule="auto"/>
              <w:jc w:val="center"/>
              <w:rPr>
                <w:szCs w:val="21"/>
              </w:rPr>
            </w:pPr>
            <w:r>
              <w:rPr>
                <w:szCs w:val="21"/>
              </w:rPr>
              <w:t>标准电压测量</w:t>
            </w:r>
          </w:p>
        </w:tc>
        <w:tc>
          <w:tcPr>
            <w:tcW w:w="1440" w:type="dxa"/>
            <w:tcBorders>
              <w:top w:val="single" w:color="auto" w:sz="4" w:space="0"/>
              <w:left w:val="nil"/>
              <w:bottom w:val="single" w:color="auto" w:sz="4" w:space="0"/>
              <w:right w:val="single" w:color="auto" w:sz="4" w:space="0"/>
            </w:tcBorders>
            <w:shd w:val="clear" w:color="auto" w:fill="auto"/>
            <w:vAlign w:val="center"/>
          </w:tcPr>
          <w:p w14:paraId="51856BE3">
            <w:pPr>
              <w:widowControl/>
              <w:snapToGrid w:val="0"/>
              <w:spacing w:line="360" w:lineRule="auto"/>
              <w:jc w:val="center"/>
              <w:rPr>
                <w:kern w:val="0"/>
                <w:sz w:val="18"/>
                <w:szCs w:val="21"/>
              </w:rPr>
            </w:pPr>
            <m:oMathPara>
              <m:oMath>
                <m:d>
                  <m:dPr>
                    <m:ctrlPr>
                      <w:rPr>
                        <w:rFonts w:ascii="Cambria Math" w:hAnsi="Cambria Math"/>
                        <w:i/>
                        <w:iCs/>
                        <w:sz w:val="18"/>
                        <w:szCs w:val="21"/>
                      </w:rPr>
                    </m:ctrlPr>
                  </m:dPr>
                  <m:e>
                    <m:f>
                      <m:fPr>
                        <m:ctrlPr>
                          <w:rPr>
                            <w:rFonts w:ascii="Cambria Math" w:hAnsi="Cambria Math"/>
                            <w:i/>
                            <w:iCs/>
                            <w:sz w:val="18"/>
                            <w:szCs w:val="21"/>
                          </w:rPr>
                        </m:ctrlPr>
                      </m:fPr>
                      <m:num>
                        <m:r>
                          <m:rPr/>
                          <w:rPr>
                            <w:rFonts w:ascii="Cambria Math" w:hAnsi="Cambria Math"/>
                            <w:sz w:val="18"/>
                            <w:szCs w:val="21"/>
                          </w:rPr>
                          <m:t>60</m:t>
                        </m:r>
                        <m:sSub>
                          <m:sSubPr>
                            <m:ctrlPr>
                              <w:rPr>
                                <w:rFonts w:ascii="Cambria Math" w:hAnsi="Cambria Math"/>
                                <w:i/>
                                <w:iCs/>
                                <w:sz w:val="18"/>
                                <w:szCs w:val="21"/>
                              </w:rPr>
                            </m:ctrlPr>
                          </m:sSubPr>
                          <m:e>
                            <m:r>
                              <m:rPr/>
                              <w:rPr>
                                <w:rFonts w:ascii="Cambria Math" w:hAnsi="Cambria Math"/>
                                <w:sz w:val="18"/>
                                <w:szCs w:val="21"/>
                              </w:rPr>
                              <m:t>I</m:t>
                            </m:r>
                            <m:ctrlPr>
                              <w:rPr>
                                <w:rFonts w:ascii="Cambria Math" w:hAnsi="Cambria Math"/>
                                <w:i/>
                                <w:iCs/>
                                <w:sz w:val="18"/>
                                <w:szCs w:val="21"/>
                              </w:rPr>
                            </m:ctrlPr>
                          </m:e>
                          <m:sub>
                            <m:r>
                              <m:rPr/>
                              <w:rPr>
                                <w:rFonts w:ascii="Cambria Math" w:hAnsi="Cambria Math"/>
                                <w:sz w:val="18"/>
                                <w:szCs w:val="21"/>
                              </w:rPr>
                              <m:t>m</m:t>
                            </m:r>
                            <m:ctrlPr>
                              <w:rPr>
                                <w:rFonts w:ascii="Cambria Math" w:hAnsi="Cambria Math"/>
                                <w:i/>
                                <w:iCs/>
                                <w:sz w:val="18"/>
                                <w:szCs w:val="21"/>
                              </w:rPr>
                            </m:ctrlPr>
                          </m:sub>
                        </m:sSub>
                        <m:ctrlPr>
                          <w:rPr>
                            <w:rFonts w:ascii="Cambria Math" w:hAnsi="Cambria Math"/>
                            <w:i/>
                            <w:iCs/>
                            <w:sz w:val="18"/>
                            <w:szCs w:val="21"/>
                          </w:rPr>
                        </m:ctrlPr>
                      </m:num>
                      <m:den>
                        <m:sSub>
                          <m:sSubPr>
                            <m:ctrlPr>
                              <w:rPr>
                                <w:rFonts w:ascii="Cambria Math" w:hAnsi="Cambria Math"/>
                                <w:i/>
                                <w:iCs/>
                                <w:sz w:val="18"/>
                                <w:szCs w:val="21"/>
                              </w:rPr>
                            </m:ctrlPr>
                          </m:sSubPr>
                          <m:e>
                            <m:r>
                              <m:rPr/>
                              <w:rPr>
                                <w:rFonts w:ascii="Cambria Math" w:hAnsi="Cambria Math"/>
                                <w:sz w:val="18"/>
                                <w:szCs w:val="21"/>
                              </w:rPr>
                              <m:t>C</m:t>
                            </m:r>
                            <m:ctrlPr>
                              <w:rPr>
                                <w:rFonts w:ascii="Cambria Math" w:hAnsi="Cambria Math"/>
                                <w:i/>
                                <w:iCs/>
                                <w:sz w:val="18"/>
                                <w:szCs w:val="21"/>
                              </w:rPr>
                            </m:ctrlPr>
                          </m:e>
                          <m:sub>
                            <m:r>
                              <m:rPr/>
                              <w:rPr>
                                <w:rFonts w:hint="eastAsia" w:ascii="Cambria Math" w:hAnsi="Cambria Math"/>
                                <w:sz w:val="18"/>
                                <w:szCs w:val="21"/>
                              </w:rPr>
                              <m:t>p</m:t>
                            </m:r>
                            <m:ctrlPr>
                              <w:rPr>
                                <w:rFonts w:ascii="Cambria Math" w:hAnsi="Cambria Math"/>
                                <w:i/>
                                <w:iCs/>
                                <w:sz w:val="18"/>
                                <w:szCs w:val="21"/>
                              </w:rPr>
                            </m:ctrlPr>
                          </m:sub>
                        </m:sSub>
                        <m:r>
                          <m:rPr/>
                          <w:rPr>
                            <w:rFonts w:ascii="Cambria Math" w:hAnsi="Cambria Math"/>
                            <w:sz w:val="18"/>
                            <w:szCs w:val="21"/>
                          </w:rPr>
                          <m:t>m</m:t>
                        </m:r>
                        <m:ctrlPr>
                          <w:rPr>
                            <w:rFonts w:ascii="Cambria Math" w:hAnsi="Cambria Math"/>
                            <w:i/>
                            <w:iCs/>
                            <w:sz w:val="18"/>
                            <w:szCs w:val="21"/>
                          </w:rPr>
                        </m:ctrlPr>
                      </m:den>
                    </m:f>
                    <m:ctrlPr>
                      <w:rPr>
                        <w:rFonts w:ascii="Cambria Math" w:hAnsi="Cambria Math"/>
                        <w:i/>
                        <w:iCs/>
                        <w:sz w:val="18"/>
                        <w:szCs w:val="21"/>
                      </w:rPr>
                    </m:ctrlPr>
                  </m:e>
                </m:d>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sSub>
                      <m:sSubPr>
                        <m:ctrlPr>
                          <w:rPr>
                            <w:rFonts w:ascii="Cambria Math" w:hAnsi="Cambria Math"/>
                            <w:i/>
                            <w:iCs/>
                            <w:sz w:val="18"/>
                            <w:szCs w:val="21"/>
                          </w:rPr>
                        </m:ctrlPr>
                      </m:sSubPr>
                      <m:e>
                        <m:r>
                          <m:rPr/>
                          <w:rPr>
                            <w:rFonts w:ascii="Cambria Math" w:hAnsi="Cambria Math"/>
                            <w:sz w:val="18"/>
                            <w:szCs w:val="21"/>
                          </w:rPr>
                          <m:t>U</m:t>
                        </m:r>
                        <m:ctrlPr>
                          <w:rPr>
                            <w:rFonts w:ascii="Cambria Math" w:hAnsi="Cambria Math"/>
                            <w:i/>
                            <w:iCs/>
                            <w:sz w:val="18"/>
                            <w:szCs w:val="21"/>
                          </w:rPr>
                        </m:ctrlPr>
                      </m:e>
                      <m:sub>
                        <m:r>
                          <m:rPr/>
                          <w:rPr>
                            <w:rFonts w:ascii="Cambria Math" w:hAnsi="Cambria Math"/>
                            <w:sz w:val="18"/>
                            <w:szCs w:val="21"/>
                          </w:rPr>
                          <m:t>m</m:t>
                        </m:r>
                        <m:ctrlPr>
                          <w:rPr>
                            <w:rFonts w:ascii="Cambria Math" w:hAnsi="Cambria Math"/>
                            <w:i/>
                            <w:iCs/>
                            <w:sz w:val="18"/>
                            <w:szCs w:val="21"/>
                          </w:rPr>
                        </m:ctrlPr>
                      </m:sub>
                    </m:sSub>
                    <m:ctrlPr>
                      <w:rPr>
                        <w:rFonts w:ascii="Cambria Math" w:hAnsi="Cambria Math" w:eastAsiaTheme="minorEastAsia"/>
                        <w:i/>
                        <w:sz w:val="18"/>
                        <w:szCs w:val="21"/>
                      </w:rPr>
                    </m:ctrlPr>
                  </m:e>
                </m:d>
              </m:oMath>
            </m:oMathPara>
          </w:p>
        </w:tc>
        <w:tc>
          <w:tcPr>
            <w:tcW w:w="1134" w:type="dxa"/>
            <w:tcBorders>
              <w:top w:val="single" w:color="auto" w:sz="4" w:space="0"/>
              <w:left w:val="nil"/>
              <w:bottom w:val="single" w:color="auto" w:sz="4" w:space="0"/>
              <w:right w:val="single" w:color="auto" w:sz="4" w:space="0"/>
            </w:tcBorders>
            <w:shd w:val="clear" w:color="auto" w:fill="auto"/>
            <w:vAlign w:val="center"/>
          </w:tcPr>
          <w:p w14:paraId="0680545D">
            <w:pPr>
              <w:spacing w:line="360" w:lineRule="auto"/>
              <w:jc w:val="center"/>
              <w:rPr>
                <w:szCs w:val="21"/>
              </w:rPr>
            </w:pPr>
            <w:r>
              <w:rPr>
                <w:rFonts w:hint="eastAsia"/>
                <w:bCs/>
                <w:iCs/>
                <w:sz w:val="24"/>
              </w:rPr>
              <w:t>0.00001</w:t>
            </w:r>
          </w:p>
        </w:tc>
        <w:tc>
          <w:tcPr>
            <w:tcW w:w="598" w:type="dxa"/>
            <w:tcBorders>
              <w:top w:val="single" w:color="auto" w:sz="4" w:space="0"/>
              <w:left w:val="nil"/>
              <w:bottom w:val="single" w:color="auto" w:sz="4" w:space="0"/>
              <w:right w:val="single" w:color="auto" w:sz="4" w:space="0"/>
            </w:tcBorders>
            <w:shd w:val="clear" w:color="auto" w:fill="auto"/>
            <w:vAlign w:val="center"/>
          </w:tcPr>
          <w:p w14:paraId="100CCF45">
            <w:pPr>
              <w:snapToGrid w:val="0"/>
              <w:spacing w:line="360" w:lineRule="auto"/>
              <w:jc w:val="center"/>
              <w:rPr>
                <w:szCs w:val="21"/>
              </w:rPr>
            </w:pPr>
            <w:r>
              <w:rPr>
                <w:szCs w:val="21"/>
              </w:rPr>
              <w:t>B</w:t>
            </w:r>
          </w:p>
        </w:tc>
        <w:tc>
          <w:tcPr>
            <w:tcW w:w="1037" w:type="dxa"/>
            <w:tcBorders>
              <w:top w:val="single" w:color="auto" w:sz="4" w:space="0"/>
              <w:left w:val="nil"/>
              <w:bottom w:val="single" w:color="auto" w:sz="4" w:space="0"/>
              <w:right w:val="single" w:color="auto" w:sz="4" w:space="0"/>
            </w:tcBorders>
            <w:shd w:val="clear" w:color="auto" w:fill="auto"/>
            <w:vAlign w:val="center"/>
          </w:tcPr>
          <w:p w14:paraId="641C1D43">
            <w:pPr>
              <w:pStyle w:val="15"/>
              <w:pBdr>
                <w:bottom w:val="none" w:color="auto" w:sz="0" w:space="0"/>
              </w:pBdr>
              <w:tabs>
                <w:tab w:val="clear" w:pos="4153"/>
                <w:tab w:val="clear" w:pos="8306"/>
              </w:tabs>
              <w:spacing w:line="360" w:lineRule="auto"/>
              <w:rPr>
                <w:sz w:val="21"/>
                <w:szCs w:val="21"/>
              </w:rPr>
            </w:pPr>
            <w:r>
              <w:rPr>
                <w:sz w:val="21"/>
                <w:szCs w:val="21"/>
              </w:rPr>
              <w:t>均匀</w:t>
            </w:r>
          </w:p>
        </w:tc>
        <w:tc>
          <w:tcPr>
            <w:tcW w:w="681" w:type="dxa"/>
            <w:tcBorders>
              <w:top w:val="single" w:color="auto" w:sz="4" w:space="0"/>
              <w:left w:val="nil"/>
              <w:bottom w:val="single" w:color="auto" w:sz="4" w:space="0"/>
              <w:right w:val="single" w:color="auto" w:sz="4" w:space="0"/>
            </w:tcBorders>
            <w:shd w:val="clear" w:color="auto" w:fill="auto"/>
            <w:vAlign w:val="center"/>
          </w:tcPr>
          <w:p w14:paraId="4E5606BB">
            <w:pPr>
              <w:snapToGrid w:val="0"/>
              <w:spacing w:line="360" w:lineRule="auto"/>
              <w:jc w:val="center"/>
              <w:rPr>
                <w:szCs w:val="21"/>
              </w:rPr>
            </w:pPr>
            <w:r>
              <w:rPr>
                <w:position w:val="-6"/>
                <w:szCs w:val="21"/>
              </w:rPr>
              <w:object>
                <v:shape id="_x0000_i1057" o:spt="75" type="#_x0000_t75" style="height:15pt;width:17.25pt;" o:ole="t" filled="f" o:preferrelative="t" stroked="f" coordsize="21600,21600">
                  <v:path/>
                  <v:fill on="f" focussize="0,0"/>
                  <v:stroke on="f" joinstyle="miter"/>
                  <v:imagedata r:id="rId79" o:title=""/>
                  <o:lock v:ext="edit" aspectratio="t"/>
                  <w10:wrap type="none"/>
                  <w10:anchorlock/>
                </v:shape>
                <o:OLEObject Type="Embed" ProgID="Equation.DSMT4" ShapeID="_x0000_i1057" DrawAspect="Content" ObjectID="_1468075757" r:id="rId78">
                  <o:LockedField>false</o:LockedField>
                </o:OLEObject>
              </w:object>
            </w:r>
          </w:p>
        </w:tc>
        <w:tc>
          <w:tcPr>
            <w:tcW w:w="1559" w:type="dxa"/>
            <w:tcBorders>
              <w:top w:val="single" w:color="auto" w:sz="4" w:space="0"/>
              <w:left w:val="nil"/>
              <w:bottom w:val="single" w:color="auto" w:sz="4" w:space="0"/>
              <w:right w:val="single" w:color="auto" w:sz="4" w:space="0"/>
            </w:tcBorders>
            <w:shd w:val="clear" w:color="auto" w:fill="auto"/>
            <w:vAlign w:val="center"/>
          </w:tcPr>
          <w:p w14:paraId="6123500B">
            <w:pPr>
              <w:snapToGrid w:val="0"/>
              <w:spacing w:line="360" w:lineRule="auto"/>
              <w:jc w:val="center"/>
              <w:rPr>
                <w:szCs w:val="21"/>
              </w:rPr>
            </w:pPr>
            <w:r>
              <w:rPr>
                <w:rFonts w:hint="eastAsia"/>
                <w:bCs/>
                <w:iCs/>
                <w:sz w:val="24"/>
              </w:rPr>
              <w:t>0.00001</w:t>
            </w:r>
          </w:p>
        </w:tc>
      </w:tr>
      <w:tr w14:paraId="66DEA842">
        <w:tblPrEx>
          <w:tblCellMar>
            <w:top w:w="0" w:type="dxa"/>
            <w:left w:w="108" w:type="dxa"/>
            <w:bottom w:w="0" w:type="dxa"/>
            <w:right w:w="108" w:type="dxa"/>
          </w:tblCellMar>
        </w:tblPrEx>
        <w:trPr>
          <w:trHeight w:val="495" w:hRule="atLeast"/>
          <w:jc w:val="center"/>
        </w:trPr>
        <w:tc>
          <w:tcPr>
            <w:tcW w:w="2099" w:type="dxa"/>
            <w:tcBorders>
              <w:top w:val="single" w:color="auto" w:sz="4" w:space="0"/>
              <w:left w:val="single" w:color="auto" w:sz="4" w:space="0"/>
              <w:bottom w:val="single" w:color="auto" w:sz="4" w:space="0"/>
              <w:right w:val="single" w:color="auto" w:sz="4" w:space="0"/>
            </w:tcBorders>
            <w:shd w:val="clear" w:color="auto" w:fill="auto"/>
            <w:vAlign w:val="center"/>
          </w:tcPr>
          <w:p w14:paraId="23034FAB">
            <w:pPr>
              <w:snapToGrid w:val="0"/>
              <w:spacing w:line="360" w:lineRule="auto"/>
              <w:jc w:val="center"/>
              <w:rPr>
                <w:szCs w:val="21"/>
              </w:rPr>
            </w:pPr>
            <w:r>
              <w:rPr>
                <w:szCs w:val="21"/>
              </w:rPr>
              <w:t>标准电流测量</w:t>
            </w:r>
          </w:p>
        </w:tc>
        <w:tc>
          <w:tcPr>
            <w:tcW w:w="1440" w:type="dxa"/>
            <w:tcBorders>
              <w:top w:val="single" w:color="auto" w:sz="4" w:space="0"/>
              <w:left w:val="nil"/>
              <w:bottom w:val="single" w:color="auto" w:sz="4" w:space="0"/>
              <w:right w:val="single" w:color="auto" w:sz="4" w:space="0"/>
            </w:tcBorders>
            <w:shd w:val="clear" w:color="auto" w:fill="auto"/>
            <w:vAlign w:val="center"/>
          </w:tcPr>
          <w:p w14:paraId="49599C44">
            <w:pPr>
              <w:snapToGrid w:val="0"/>
              <w:spacing w:line="360" w:lineRule="auto"/>
              <w:jc w:val="center"/>
              <w:rPr>
                <w:sz w:val="18"/>
                <w:szCs w:val="21"/>
              </w:rPr>
            </w:pPr>
            <m:oMathPara>
              <m:oMath>
                <m:r>
                  <m:rPr/>
                  <w:rPr>
                    <w:rFonts w:ascii="Cambria Math" w:hAnsi="Cambria Math"/>
                    <w:sz w:val="18"/>
                    <w:szCs w:val="21"/>
                  </w:rPr>
                  <m:t>(</m:t>
                </m:r>
                <m:f>
                  <m:fPr>
                    <m:ctrlPr>
                      <w:rPr>
                        <w:rFonts w:ascii="Cambria Math" w:hAnsi="Cambria Math"/>
                        <w:i/>
                        <w:iCs/>
                        <w:sz w:val="18"/>
                        <w:szCs w:val="21"/>
                      </w:rPr>
                    </m:ctrlPr>
                  </m:fPr>
                  <m:num>
                    <m:r>
                      <m:rPr/>
                      <w:rPr>
                        <w:rFonts w:ascii="Cambria Math" w:hAnsi="Cambria Math"/>
                        <w:sz w:val="18"/>
                        <w:szCs w:val="21"/>
                      </w:rPr>
                      <m:t>60</m:t>
                    </m:r>
                    <m:sSub>
                      <m:sSubPr>
                        <m:ctrlPr>
                          <w:rPr>
                            <w:rFonts w:ascii="Cambria Math" w:hAnsi="Cambria Math"/>
                            <w:i/>
                            <w:iCs/>
                            <w:sz w:val="18"/>
                            <w:szCs w:val="21"/>
                          </w:rPr>
                        </m:ctrlPr>
                      </m:sSubPr>
                      <m:e>
                        <m:r>
                          <m:rPr/>
                          <w:rPr>
                            <w:rFonts w:ascii="Cambria Math" w:hAnsi="Cambria Math"/>
                            <w:sz w:val="18"/>
                            <w:szCs w:val="21"/>
                          </w:rPr>
                          <m:t>U</m:t>
                        </m:r>
                        <m:ctrlPr>
                          <w:rPr>
                            <w:rFonts w:ascii="Cambria Math" w:hAnsi="Cambria Math"/>
                            <w:i/>
                            <w:iCs/>
                            <w:sz w:val="18"/>
                            <w:szCs w:val="21"/>
                          </w:rPr>
                        </m:ctrlPr>
                      </m:e>
                      <m:sub>
                        <m:r>
                          <m:rPr/>
                          <w:rPr>
                            <w:rFonts w:ascii="Cambria Math" w:hAnsi="Cambria Math"/>
                            <w:sz w:val="18"/>
                            <w:szCs w:val="21"/>
                          </w:rPr>
                          <m:t>m</m:t>
                        </m:r>
                        <m:ctrlPr>
                          <w:rPr>
                            <w:rFonts w:ascii="Cambria Math" w:hAnsi="Cambria Math"/>
                            <w:i/>
                            <w:iCs/>
                            <w:sz w:val="18"/>
                            <w:szCs w:val="21"/>
                          </w:rPr>
                        </m:ctrlPr>
                      </m:sub>
                    </m:sSub>
                    <m:ctrlPr>
                      <w:rPr>
                        <w:rFonts w:ascii="Cambria Math" w:hAnsi="Cambria Math"/>
                        <w:i/>
                        <w:iCs/>
                        <w:sz w:val="18"/>
                        <w:szCs w:val="21"/>
                      </w:rPr>
                    </m:ctrlPr>
                  </m:num>
                  <m:den>
                    <m:sSub>
                      <m:sSubPr>
                        <m:ctrlPr>
                          <w:rPr>
                            <w:rFonts w:ascii="Cambria Math" w:hAnsi="Cambria Math"/>
                            <w:i/>
                            <w:iCs/>
                            <w:sz w:val="18"/>
                            <w:szCs w:val="21"/>
                          </w:rPr>
                        </m:ctrlPr>
                      </m:sSubPr>
                      <m:e>
                        <m:r>
                          <m:rPr/>
                          <w:rPr>
                            <w:rFonts w:ascii="Cambria Math" w:hAnsi="Cambria Math"/>
                            <w:sz w:val="18"/>
                            <w:szCs w:val="21"/>
                          </w:rPr>
                          <m:t>C</m:t>
                        </m:r>
                        <m:ctrlPr>
                          <w:rPr>
                            <w:rFonts w:ascii="Cambria Math" w:hAnsi="Cambria Math"/>
                            <w:i/>
                            <w:iCs/>
                            <w:sz w:val="18"/>
                            <w:szCs w:val="21"/>
                          </w:rPr>
                        </m:ctrlPr>
                      </m:e>
                      <m:sub>
                        <m:r>
                          <m:rPr/>
                          <w:rPr>
                            <w:rFonts w:hint="eastAsia" w:ascii="Cambria Math" w:hAnsi="Cambria Math"/>
                            <w:sz w:val="18"/>
                            <w:szCs w:val="21"/>
                          </w:rPr>
                          <m:t>p</m:t>
                        </m:r>
                        <m:ctrlPr>
                          <w:rPr>
                            <w:rFonts w:ascii="Cambria Math" w:hAnsi="Cambria Math"/>
                            <w:i/>
                            <w:iCs/>
                            <w:sz w:val="18"/>
                            <w:szCs w:val="21"/>
                          </w:rPr>
                        </m:ctrlPr>
                      </m:sub>
                    </m:sSub>
                    <m:r>
                      <m:rPr/>
                      <w:rPr>
                        <w:rFonts w:ascii="Cambria Math" w:hAnsi="Cambria Math"/>
                        <w:sz w:val="18"/>
                        <w:szCs w:val="21"/>
                      </w:rPr>
                      <m:t>m</m:t>
                    </m:r>
                    <m:ctrlPr>
                      <w:rPr>
                        <w:rFonts w:ascii="Cambria Math" w:hAnsi="Cambria Math"/>
                        <w:i/>
                        <w:iCs/>
                        <w:sz w:val="18"/>
                        <w:szCs w:val="21"/>
                      </w:rPr>
                    </m:ctrlPr>
                  </m:den>
                </m:f>
                <m:r>
                  <m:rPr/>
                  <w:rPr>
                    <w:rFonts w:ascii="Cambria Math" w:hAnsi="Cambria Math"/>
                    <w:sz w:val="18"/>
                    <w:szCs w:val="21"/>
                  </w:rPr>
                  <m:t>)</m:t>
                </m:r>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sSub>
                      <m:sSubPr>
                        <m:ctrlPr>
                          <w:rPr>
                            <w:rFonts w:ascii="Cambria Math" w:hAnsi="Cambria Math"/>
                            <w:i/>
                            <w:iCs/>
                            <w:sz w:val="18"/>
                            <w:szCs w:val="21"/>
                          </w:rPr>
                        </m:ctrlPr>
                      </m:sSubPr>
                      <m:e>
                        <m:r>
                          <m:rPr/>
                          <w:rPr>
                            <w:rFonts w:ascii="Cambria Math" w:hAnsi="Cambria Math"/>
                            <w:sz w:val="18"/>
                            <w:szCs w:val="21"/>
                          </w:rPr>
                          <m:t>I</m:t>
                        </m:r>
                        <m:ctrlPr>
                          <w:rPr>
                            <w:rFonts w:ascii="Cambria Math" w:hAnsi="Cambria Math"/>
                            <w:i/>
                            <w:iCs/>
                            <w:sz w:val="18"/>
                            <w:szCs w:val="21"/>
                          </w:rPr>
                        </m:ctrlPr>
                      </m:e>
                      <m:sub>
                        <m:r>
                          <m:rPr/>
                          <w:rPr>
                            <w:rFonts w:ascii="Cambria Math" w:hAnsi="Cambria Math"/>
                            <w:sz w:val="18"/>
                            <w:szCs w:val="21"/>
                          </w:rPr>
                          <m:t>m</m:t>
                        </m:r>
                        <m:ctrlPr>
                          <w:rPr>
                            <w:rFonts w:ascii="Cambria Math" w:hAnsi="Cambria Math"/>
                            <w:i/>
                            <w:iCs/>
                            <w:sz w:val="18"/>
                            <w:szCs w:val="21"/>
                          </w:rPr>
                        </m:ctrlPr>
                      </m:sub>
                    </m:sSub>
                    <m:ctrlPr>
                      <w:rPr>
                        <w:rFonts w:ascii="Cambria Math" w:hAnsi="Cambria Math" w:eastAsiaTheme="minorEastAsia"/>
                        <w:i/>
                        <w:sz w:val="18"/>
                        <w:szCs w:val="21"/>
                      </w:rPr>
                    </m:ctrlPr>
                  </m:e>
                </m:d>
              </m:oMath>
            </m:oMathPara>
          </w:p>
        </w:tc>
        <w:tc>
          <w:tcPr>
            <w:tcW w:w="1134" w:type="dxa"/>
            <w:tcBorders>
              <w:top w:val="single" w:color="auto" w:sz="4" w:space="0"/>
              <w:left w:val="nil"/>
              <w:bottom w:val="single" w:color="auto" w:sz="4" w:space="0"/>
              <w:right w:val="single" w:color="auto" w:sz="4" w:space="0"/>
            </w:tcBorders>
            <w:shd w:val="clear" w:color="auto" w:fill="auto"/>
            <w:vAlign w:val="center"/>
          </w:tcPr>
          <w:p w14:paraId="3B80824D">
            <w:pPr>
              <w:spacing w:line="360" w:lineRule="auto"/>
              <w:jc w:val="center"/>
              <w:rPr>
                <w:szCs w:val="21"/>
              </w:rPr>
            </w:pPr>
            <w:r>
              <w:rPr>
                <w:rFonts w:hint="eastAsia"/>
                <w:bCs/>
                <w:iCs/>
                <w:sz w:val="24"/>
              </w:rPr>
              <w:t>0.00002</w:t>
            </w:r>
          </w:p>
        </w:tc>
        <w:tc>
          <w:tcPr>
            <w:tcW w:w="598" w:type="dxa"/>
            <w:tcBorders>
              <w:top w:val="single" w:color="auto" w:sz="4" w:space="0"/>
              <w:left w:val="nil"/>
              <w:bottom w:val="single" w:color="auto" w:sz="4" w:space="0"/>
              <w:right w:val="single" w:color="auto" w:sz="4" w:space="0"/>
            </w:tcBorders>
            <w:shd w:val="clear" w:color="auto" w:fill="auto"/>
            <w:vAlign w:val="center"/>
          </w:tcPr>
          <w:p w14:paraId="18F05B1C">
            <w:pPr>
              <w:snapToGrid w:val="0"/>
              <w:spacing w:line="360" w:lineRule="auto"/>
              <w:jc w:val="center"/>
              <w:rPr>
                <w:szCs w:val="21"/>
              </w:rPr>
            </w:pPr>
            <w:r>
              <w:rPr>
                <w:szCs w:val="21"/>
              </w:rPr>
              <w:t>B</w:t>
            </w:r>
          </w:p>
        </w:tc>
        <w:tc>
          <w:tcPr>
            <w:tcW w:w="1037" w:type="dxa"/>
            <w:tcBorders>
              <w:top w:val="single" w:color="auto" w:sz="4" w:space="0"/>
              <w:left w:val="nil"/>
              <w:bottom w:val="single" w:color="auto" w:sz="4" w:space="0"/>
              <w:right w:val="single" w:color="auto" w:sz="4" w:space="0"/>
            </w:tcBorders>
            <w:shd w:val="clear" w:color="auto" w:fill="auto"/>
            <w:vAlign w:val="center"/>
          </w:tcPr>
          <w:p w14:paraId="085D42E1">
            <w:pPr>
              <w:pStyle w:val="15"/>
              <w:pBdr>
                <w:bottom w:val="none" w:color="auto" w:sz="0" w:space="0"/>
              </w:pBdr>
              <w:tabs>
                <w:tab w:val="clear" w:pos="4153"/>
                <w:tab w:val="clear" w:pos="8306"/>
              </w:tabs>
              <w:spacing w:line="360" w:lineRule="auto"/>
              <w:rPr>
                <w:sz w:val="21"/>
                <w:szCs w:val="21"/>
              </w:rPr>
            </w:pPr>
            <w:r>
              <w:rPr>
                <w:sz w:val="21"/>
                <w:szCs w:val="21"/>
              </w:rPr>
              <w:t>均匀</w:t>
            </w:r>
          </w:p>
        </w:tc>
        <w:tc>
          <w:tcPr>
            <w:tcW w:w="681" w:type="dxa"/>
            <w:tcBorders>
              <w:top w:val="single" w:color="auto" w:sz="4" w:space="0"/>
              <w:left w:val="nil"/>
              <w:bottom w:val="single" w:color="auto" w:sz="4" w:space="0"/>
              <w:right w:val="single" w:color="auto" w:sz="4" w:space="0"/>
            </w:tcBorders>
            <w:shd w:val="clear" w:color="auto" w:fill="auto"/>
            <w:vAlign w:val="center"/>
          </w:tcPr>
          <w:p w14:paraId="1A28F2A8">
            <w:pPr>
              <w:snapToGrid w:val="0"/>
              <w:spacing w:line="360" w:lineRule="auto"/>
              <w:jc w:val="center"/>
              <w:rPr>
                <w:szCs w:val="21"/>
              </w:rPr>
            </w:pPr>
            <w:r>
              <w:rPr>
                <w:position w:val="-6"/>
                <w:szCs w:val="21"/>
              </w:rPr>
              <w:object>
                <v:shape id="_x0000_i1058" o:spt="75" type="#_x0000_t75" style="height:15pt;width:17.25pt;" o:ole="t" filled="f" o:preferrelative="t" stroked="f" coordsize="21600,21600">
                  <v:path/>
                  <v:fill on="f" focussize="0,0"/>
                  <v:stroke on="f" joinstyle="miter"/>
                  <v:imagedata r:id="rId79" o:title=""/>
                  <o:lock v:ext="edit" aspectratio="t"/>
                  <w10:wrap type="none"/>
                  <w10:anchorlock/>
                </v:shape>
                <o:OLEObject Type="Embed" ProgID="Equation.DSMT4" ShapeID="_x0000_i1058" DrawAspect="Content" ObjectID="_1468075758" r:id="rId80">
                  <o:LockedField>false</o:LockedField>
                </o:OLEObject>
              </w:object>
            </w:r>
          </w:p>
        </w:tc>
        <w:tc>
          <w:tcPr>
            <w:tcW w:w="1559" w:type="dxa"/>
            <w:tcBorders>
              <w:top w:val="single" w:color="auto" w:sz="4" w:space="0"/>
              <w:left w:val="nil"/>
              <w:bottom w:val="single" w:color="auto" w:sz="4" w:space="0"/>
              <w:right w:val="single" w:color="auto" w:sz="4" w:space="0"/>
            </w:tcBorders>
            <w:shd w:val="clear" w:color="auto" w:fill="auto"/>
            <w:vAlign w:val="center"/>
          </w:tcPr>
          <w:p w14:paraId="53595D10">
            <w:pPr>
              <w:snapToGrid w:val="0"/>
              <w:spacing w:line="360" w:lineRule="auto"/>
              <w:jc w:val="center"/>
              <w:rPr>
                <w:szCs w:val="21"/>
              </w:rPr>
            </w:pPr>
            <w:r>
              <w:rPr>
                <w:rFonts w:hint="eastAsia"/>
                <w:bCs/>
                <w:iCs/>
                <w:sz w:val="24"/>
              </w:rPr>
              <w:t>0.00001</w:t>
            </w:r>
          </w:p>
        </w:tc>
      </w:tr>
      <w:tr w14:paraId="2A216954">
        <w:tblPrEx>
          <w:tblCellMar>
            <w:top w:w="0" w:type="dxa"/>
            <w:left w:w="108" w:type="dxa"/>
            <w:bottom w:w="0" w:type="dxa"/>
            <w:right w:w="108" w:type="dxa"/>
          </w:tblCellMar>
        </w:tblPrEx>
        <w:trPr>
          <w:trHeight w:val="495" w:hRule="atLeast"/>
          <w:jc w:val="center"/>
        </w:trPr>
        <w:tc>
          <w:tcPr>
            <w:tcW w:w="2099" w:type="dxa"/>
            <w:tcBorders>
              <w:top w:val="single" w:color="auto" w:sz="4" w:space="0"/>
              <w:left w:val="single" w:color="auto" w:sz="4" w:space="0"/>
              <w:bottom w:val="single" w:color="auto" w:sz="4" w:space="0"/>
              <w:right w:val="single" w:color="auto" w:sz="4" w:space="0"/>
            </w:tcBorders>
            <w:shd w:val="clear" w:color="auto" w:fill="auto"/>
            <w:vAlign w:val="center"/>
          </w:tcPr>
          <w:p w14:paraId="0EF84CBB">
            <w:pPr>
              <w:snapToGrid w:val="0"/>
              <w:spacing w:line="360" w:lineRule="auto"/>
              <w:jc w:val="center"/>
              <w:rPr>
                <w:szCs w:val="21"/>
              </w:rPr>
            </w:pPr>
            <w:r>
              <w:rPr>
                <w:rFonts w:hint="eastAsia"/>
                <w:szCs w:val="21"/>
              </w:rPr>
              <w:t>标准样块比热容</w:t>
            </w:r>
          </w:p>
        </w:tc>
        <w:tc>
          <w:tcPr>
            <w:tcW w:w="1440" w:type="dxa"/>
            <w:tcBorders>
              <w:top w:val="single" w:color="auto" w:sz="4" w:space="0"/>
              <w:left w:val="nil"/>
              <w:bottom w:val="single" w:color="auto" w:sz="4" w:space="0"/>
              <w:right w:val="single" w:color="auto" w:sz="4" w:space="0"/>
            </w:tcBorders>
            <w:shd w:val="clear" w:color="auto" w:fill="auto"/>
            <w:vAlign w:val="center"/>
          </w:tcPr>
          <w:p w14:paraId="70F3EA2C">
            <w:pPr>
              <w:snapToGrid w:val="0"/>
              <w:spacing w:line="360" w:lineRule="auto"/>
              <w:jc w:val="center"/>
              <w:rPr>
                <w:sz w:val="18"/>
                <w:szCs w:val="21"/>
              </w:rPr>
            </w:pPr>
            <m:oMathPara>
              <m:oMath>
                <m:r>
                  <m:rPr/>
                  <w:rPr>
                    <w:rFonts w:ascii="Cambria Math" w:hAnsi="Cambria Math"/>
                    <w:sz w:val="18"/>
                    <w:szCs w:val="21"/>
                  </w:rPr>
                  <m:t>(</m:t>
                </m:r>
                <m:f>
                  <m:fPr>
                    <m:ctrlPr>
                      <w:rPr>
                        <w:rFonts w:ascii="Cambria Math" w:hAnsi="Cambria Math"/>
                        <w:i/>
                        <w:iCs/>
                        <w:sz w:val="18"/>
                        <w:szCs w:val="21"/>
                      </w:rPr>
                    </m:ctrlPr>
                  </m:fPr>
                  <m:num>
                    <m:sSub>
                      <m:sSubPr>
                        <m:ctrlPr>
                          <w:rPr>
                            <w:rFonts w:ascii="Cambria Math" w:hAnsi="Cambria Math"/>
                            <w:i/>
                            <w:iCs/>
                            <w:sz w:val="18"/>
                            <w:szCs w:val="21"/>
                          </w:rPr>
                        </m:ctrlPr>
                      </m:sSubPr>
                      <m:e>
                        <m:r>
                          <m:rPr/>
                          <w:rPr>
                            <w:rFonts w:ascii="Cambria Math" w:hAnsi="Cambria Math"/>
                            <w:sz w:val="18"/>
                            <w:szCs w:val="21"/>
                          </w:rPr>
                          <m:t>60U</m:t>
                        </m:r>
                        <m:ctrlPr>
                          <w:rPr>
                            <w:rFonts w:ascii="Cambria Math" w:hAnsi="Cambria Math"/>
                            <w:i/>
                            <w:iCs/>
                            <w:sz w:val="18"/>
                            <w:szCs w:val="21"/>
                          </w:rPr>
                        </m:ctrlPr>
                      </m:e>
                      <m:sub>
                        <m:r>
                          <m:rPr/>
                          <w:rPr>
                            <w:rFonts w:ascii="Cambria Math" w:hAnsi="Cambria Math"/>
                            <w:sz w:val="18"/>
                            <w:szCs w:val="21"/>
                          </w:rPr>
                          <m:t>m</m:t>
                        </m:r>
                        <m:ctrlPr>
                          <w:rPr>
                            <w:rFonts w:ascii="Cambria Math" w:hAnsi="Cambria Math"/>
                            <w:i/>
                            <w:iCs/>
                            <w:sz w:val="18"/>
                            <w:szCs w:val="21"/>
                          </w:rPr>
                        </m:ctrlPr>
                      </m:sub>
                    </m:sSub>
                    <m:sSub>
                      <m:sSubPr>
                        <m:ctrlPr>
                          <w:rPr>
                            <w:rFonts w:ascii="Cambria Math" w:hAnsi="Cambria Math"/>
                            <w:i/>
                            <w:iCs/>
                            <w:sz w:val="18"/>
                            <w:szCs w:val="21"/>
                          </w:rPr>
                        </m:ctrlPr>
                      </m:sSubPr>
                      <m:e>
                        <m:r>
                          <m:rPr/>
                          <w:rPr>
                            <w:rFonts w:ascii="Cambria Math" w:hAnsi="Cambria Math"/>
                            <w:sz w:val="18"/>
                            <w:szCs w:val="21"/>
                          </w:rPr>
                          <m:t>I</m:t>
                        </m:r>
                        <m:ctrlPr>
                          <w:rPr>
                            <w:rFonts w:ascii="Cambria Math" w:hAnsi="Cambria Math"/>
                            <w:i/>
                            <w:iCs/>
                            <w:sz w:val="18"/>
                            <w:szCs w:val="21"/>
                          </w:rPr>
                        </m:ctrlPr>
                      </m:e>
                      <m:sub>
                        <m:r>
                          <m:rPr/>
                          <w:rPr>
                            <w:rFonts w:ascii="Cambria Math" w:hAnsi="Cambria Math"/>
                            <w:sz w:val="18"/>
                            <w:szCs w:val="21"/>
                          </w:rPr>
                          <m:t>m</m:t>
                        </m:r>
                        <m:ctrlPr>
                          <w:rPr>
                            <w:rFonts w:ascii="Cambria Math" w:hAnsi="Cambria Math"/>
                            <w:i/>
                            <w:iCs/>
                            <w:sz w:val="18"/>
                            <w:szCs w:val="21"/>
                          </w:rPr>
                        </m:ctrlPr>
                      </m:sub>
                    </m:sSub>
                    <m:ctrlPr>
                      <w:rPr>
                        <w:rFonts w:ascii="Cambria Math" w:hAnsi="Cambria Math"/>
                        <w:i/>
                        <w:iCs/>
                        <w:sz w:val="18"/>
                        <w:szCs w:val="21"/>
                      </w:rPr>
                    </m:ctrlPr>
                  </m:num>
                  <m:den>
                    <m:sSup>
                      <m:sSupPr>
                        <m:ctrlPr>
                          <w:rPr>
                            <w:rFonts w:ascii="Cambria Math" w:hAnsi="Cambria Math"/>
                            <w:i/>
                            <w:iCs/>
                            <w:sz w:val="18"/>
                            <w:szCs w:val="21"/>
                          </w:rPr>
                        </m:ctrlPr>
                      </m:sSupPr>
                      <m:e>
                        <m:sSub>
                          <m:sSubPr>
                            <m:ctrlPr>
                              <w:rPr>
                                <w:rFonts w:ascii="Cambria Math" w:hAnsi="Cambria Math"/>
                                <w:i/>
                                <w:iCs/>
                                <w:sz w:val="18"/>
                                <w:szCs w:val="21"/>
                              </w:rPr>
                            </m:ctrlPr>
                          </m:sSubPr>
                          <m:e>
                            <m:r>
                              <m:rPr/>
                              <w:rPr>
                                <w:rFonts w:ascii="Cambria Math" w:hAnsi="Cambria Math"/>
                                <w:sz w:val="18"/>
                                <w:szCs w:val="21"/>
                              </w:rPr>
                              <m:t>C</m:t>
                            </m:r>
                            <m:ctrlPr>
                              <w:rPr>
                                <w:rFonts w:ascii="Cambria Math" w:hAnsi="Cambria Math"/>
                                <w:i/>
                                <w:iCs/>
                                <w:sz w:val="18"/>
                                <w:szCs w:val="21"/>
                              </w:rPr>
                            </m:ctrlPr>
                          </m:e>
                          <m:sub>
                            <m:r>
                              <m:rPr/>
                              <w:rPr>
                                <w:rFonts w:hint="eastAsia" w:ascii="Cambria Math" w:hAnsi="Cambria Math"/>
                                <w:sz w:val="18"/>
                                <w:szCs w:val="21"/>
                              </w:rPr>
                              <m:t>p</m:t>
                            </m:r>
                            <m:ctrlPr>
                              <w:rPr>
                                <w:rFonts w:ascii="Cambria Math" w:hAnsi="Cambria Math"/>
                                <w:i/>
                                <w:iCs/>
                                <w:sz w:val="18"/>
                                <w:szCs w:val="21"/>
                              </w:rPr>
                            </m:ctrlPr>
                          </m:sub>
                        </m:sSub>
                        <m:ctrlPr>
                          <w:rPr>
                            <w:rFonts w:ascii="Cambria Math" w:hAnsi="Cambria Math"/>
                            <w:i/>
                            <w:iCs/>
                            <w:sz w:val="18"/>
                            <w:szCs w:val="21"/>
                          </w:rPr>
                        </m:ctrlPr>
                      </m:e>
                      <m:sup>
                        <m:r>
                          <m:rPr/>
                          <w:rPr>
                            <w:rFonts w:ascii="Cambria Math" w:hAnsi="Cambria Math"/>
                            <w:sz w:val="18"/>
                            <w:szCs w:val="21"/>
                          </w:rPr>
                          <m:t>2</m:t>
                        </m:r>
                        <m:ctrlPr>
                          <w:rPr>
                            <w:rFonts w:ascii="Cambria Math" w:hAnsi="Cambria Math"/>
                            <w:i/>
                            <w:iCs/>
                            <w:sz w:val="18"/>
                            <w:szCs w:val="21"/>
                          </w:rPr>
                        </m:ctrlPr>
                      </m:sup>
                    </m:sSup>
                    <m:r>
                      <m:rPr/>
                      <w:rPr>
                        <w:rFonts w:ascii="Cambria Math" w:hAnsi="Cambria Math"/>
                        <w:sz w:val="18"/>
                        <w:szCs w:val="21"/>
                      </w:rPr>
                      <m:t>m</m:t>
                    </m:r>
                    <m:ctrlPr>
                      <w:rPr>
                        <w:rFonts w:ascii="Cambria Math" w:hAnsi="Cambria Math"/>
                        <w:i/>
                        <w:iCs/>
                        <w:sz w:val="18"/>
                        <w:szCs w:val="21"/>
                      </w:rPr>
                    </m:ctrlPr>
                  </m:den>
                </m:f>
                <m:r>
                  <m:rPr/>
                  <w:rPr>
                    <w:rFonts w:ascii="Cambria Math" w:hAnsi="Cambria Math"/>
                    <w:sz w:val="18"/>
                    <w:szCs w:val="21"/>
                  </w:rPr>
                  <m:t>)</m:t>
                </m:r>
                <m:r>
                  <m:rPr/>
                  <w:rPr>
                    <w:rFonts w:hint="eastAsia" w:ascii="Cambria Math" w:hAnsi="Cambria Math" w:eastAsiaTheme="minorEastAsia"/>
                    <w:sz w:val="18"/>
                    <w:szCs w:val="21"/>
                  </w:rPr>
                  <m:t>u</m:t>
                </m:r>
                <m:d>
                  <m:dPr>
                    <m:ctrlPr>
                      <w:rPr>
                        <w:rFonts w:ascii="Cambria Math" w:hAnsi="Cambria Math" w:eastAsiaTheme="minorEastAsia"/>
                        <w:i/>
                        <w:sz w:val="18"/>
                        <w:szCs w:val="21"/>
                      </w:rPr>
                    </m:ctrlPr>
                  </m:dPr>
                  <m:e>
                    <m:sSub>
                      <m:sSubPr>
                        <m:ctrlPr>
                          <w:rPr>
                            <w:rFonts w:ascii="Cambria Math" w:hAnsi="Cambria Math"/>
                            <w:i/>
                            <w:iCs/>
                            <w:sz w:val="18"/>
                            <w:szCs w:val="21"/>
                          </w:rPr>
                        </m:ctrlPr>
                      </m:sSubPr>
                      <m:e>
                        <m:r>
                          <m:rPr/>
                          <w:rPr>
                            <w:rFonts w:ascii="Cambria Math" w:hAnsi="Cambria Math"/>
                            <w:sz w:val="18"/>
                            <w:szCs w:val="21"/>
                          </w:rPr>
                          <m:t>C</m:t>
                        </m:r>
                        <m:ctrlPr>
                          <w:rPr>
                            <w:rFonts w:ascii="Cambria Math" w:hAnsi="Cambria Math"/>
                            <w:i/>
                            <w:iCs/>
                            <w:sz w:val="18"/>
                            <w:szCs w:val="21"/>
                          </w:rPr>
                        </m:ctrlPr>
                      </m:e>
                      <m:sub>
                        <m:r>
                          <m:rPr/>
                          <w:rPr>
                            <w:rFonts w:hint="eastAsia" w:ascii="Cambria Math" w:hAnsi="Cambria Math"/>
                            <w:sz w:val="18"/>
                            <w:szCs w:val="21"/>
                          </w:rPr>
                          <m:t>p</m:t>
                        </m:r>
                        <m:ctrlPr>
                          <w:rPr>
                            <w:rFonts w:ascii="Cambria Math" w:hAnsi="Cambria Math"/>
                            <w:i/>
                            <w:iCs/>
                            <w:sz w:val="18"/>
                            <w:szCs w:val="21"/>
                          </w:rPr>
                        </m:ctrlPr>
                      </m:sub>
                    </m:sSub>
                    <m:ctrlPr>
                      <w:rPr>
                        <w:rFonts w:ascii="Cambria Math" w:hAnsi="Cambria Math" w:eastAsiaTheme="minorEastAsia"/>
                        <w:i/>
                        <w:sz w:val="18"/>
                        <w:szCs w:val="21"/>
                      </w:rPr>
                    </m:ctrlPr>
                  </m:e>
                </m:d>
              </m:oMath>
            </m:oMathPara>
          </w:p>
        </w:tc>
        <w:tc>
          <w:tcPr>
            <w:tcW w:w="1134" w:type="dxa"/>
            <w:tcBorders>
              <w:top w:val="single" w:color="auto" w:sz="4" w:space="0"/>
              <w:left w:val="nil"/>
              <w:bottom w:val="single" w:color="auto" w:sz="4" w:space="0"/>
              <w:right w:val="single" w:color="auto" w:sz="4" w:space="0"/>
            </w:tcBorders>
            <w:shd w:val="clear" w:color="auto" w:fill="auto"/>
            <w:vAlign w:val="center"/>
          </w:tcPr>
          <w:p w14:paraId="71527116">
            <w:pPr>
              <w:spacing w:line="360" w:lineRule="auto"/>
              <w:jc w:val="center"/>
              <w:rPr>
                <w:szCs w:val="21"/>
              </w:rPr>
            </w:pPr>
            <w:r>
              <w:rPr>
                <w:sz w:val="24"/>
              </w:rPr>
              <w:t>0.</w:t>
            </w:r>
            <w:r>
              <w:rPr>
                <w:rFonts w:hint="eastAsia"/>
                <w:sz w:val="24"/>
              </w:rPr>
              <w:t>00030</w:t>
            </w:r>
          </w:p>
        </w:tc>
        <w:tc>
          <w:tcPr>
            <w:tcW w:w="598" w:type="dxa"/>
            <w:tcBorders>
              <w:top w:val="single" w:color="auto" w:sz="4" w:space="0"/>
              <w:left w:val="nil"/>
              <w:bottom w:val="single" w:color="auto" w:sz="4" w:space="0"/>
              <w:right w:val="single" w:color="auto" w:sz="4" w:space="0"/>
            </w:tcBorders>
            <w:shd w:val="clear" w:color="auto" w:fill="auto"/>
            <w:vAlign w:val="center"/>
          </w:tcPr>
          <w:p w14:paraId="4EC213E6">
            <w:pPr>
              <w:snapToGrid w:val="0"/>
              <w:spacing w:line="360" w:lineRule="auto"/>
              <w:jc w:val="center"/>
              <w:rPr>
                <w:szCs w:val="21"/>
              </w:rPr>
            </w:pPr>
            <w:r>
              <w:rPr>
                <w:szCs w:val="21"/>
              </w:rPr>
              <w:t>B</w:t>
            </w:r>
          </w:p>
        </w:tc>
        <w:tc>
          <w:tcPr>
            <w:tcW w:w="1037" w:type="dxa"/>
            <w:tcBorders>
              <w:top w:val="single" w:color="auto" w:sz="4" w:space="0"/>
              <w:left w:val="nil"/>
              <w:bottom w:val="single" w:color="auto" w:sz="4" w:space="0"/>
              <w:right w:val="single" w:color="auto" w:sz="4" w:space="0"/>
            </w:tcBorders>
            <w:shd w:val="clear" w:color="auto" w:fill="auto"/>
            <w:vAlign w:val="center"/>
          </w:tcPr>
          <w:p w14:paraId="4F3BF718">
            <w:pPr>
              <w:pStyle w:val="15"/>
              <w:pBdr>
                <w:bottom w:val="none" w:color="auto" w:sz="0" w:space="0"/>
              </w:pBdr>
              <w:tabs>
                <w:tab w:val="clear" w:pos="4153"/>
                <w:tab w:val="clear" w:pos="8306"/>
              </w:tabs>
              <w:spacing w:line="360" w:lineRule="auto"/>
              <w:rPr>
                <w:sz w:val="21"/>
                <w:szCs w:val="21"/>
              </w:rPr>
            </w:pPr>
            <w:r>
              <w:rPr>
                <w:sz w:val="21"/>
                <w:szCs w:val="21"/>
              </w:rPr>
              <w:t>均匀</w:t>
            </w:r>
          </w:p>
        </w:tc>
        <w:tc>
          <w:tcPr>
            <w:tcW w:w="681" w:type="dxa"/>
            <w:tcBorders>
              <w:top w:val="single" w:color="auto" w:sz="4" w:space="0"/>
              <w:left w:val="nil"/>
              <w:bottom w:val="single" w:color="auto" w:sz="4" w:space="0"/>
              <w:right w:val="single" w:color="auto" w:sz="4" w:space="0"/>
            </w:tcBorders>
            <w:shd w:val="clear" w:color="auto" w:fill="auto"/>
            <w:vAlign w:val="center"/>
          </w:tcPr>
          <w:p w14:paraId="5507A8DC">
            <w:pPr>
              <w:snapToGrid w:val="0"/>
              <w:spacing w:line="360" w:lineRule="auto"/>
              <w:jc w:val="center"/>
              <w:rPr>
                <w:szCs w:val="21"/>
              </w:rPr>
            </w:pPr>
            <w:r>
              <w:rPr>
                <w:position w:val="-6"/>
                <w:szCs w:val="21"/>
              </w:rPr>
              <w:object>
                <v:shape id="_x0000_i1059" o:spt="75" type="#_x0000_t75" style="height:15pt;width:17.25pt;" o:ole="t" filled="f" o:preferrelative="t" stroked="f" coordsize="21600,21600">
                  <v:path/>
                  <v:fill on="f" focussize="0,0"/>
                  <v:stroke on="f" joinstyle="miter"/>
                  <v:imagedata r:id="rId79" o:title=""/>
                  <o:lock v:ext="edit" aspectratio="t"/>
                  <w10:wrap type="none"/>
                  <w10:anchorlock/>
                </v:shape>
                <o:OLEObject Type="Embed" ProgID="Equation.DSMT4" ShapeID="_x0000_i1059" DrawAspect="Content" ObjectID="_1468075759" r:id="rId81">
                  <o:LockedField>false</o:LockedField>
                </o:OLEObject>
              </w:object>
            </w:r>
          </w:p>
        </w:tc>
        <w:tc>
          <w:tcPr>
            <w:tcW w:w="1559" w:type="dxa"/>
            <w:tcBorders>
              <w:top w:val="single" w:color="auto" w:sz="4" w:space="0"/>
              <w:left w:val="nil"/>
              <w:bottom w:val="single" w:color="auto" w:sz="4" w:space="0"/>
              <w:right w:val="single" w:color="auto" w:sz="4" w:space="0"/>
            </w:tcBorders>
            <w:shd w:val="clear" w:color="auto" w:fill="auto"/>
            <w:vAlign w:val="center"/>
          </w:tcPr>
          <w:p w14:paraId="04619495">
            <w:pPr>
              <w:snapToGrid w:val="0"/>
              <w:spacing w:line="360" w:lineRule="auto"/>
              <w:jc w:val="center"/>
              <w:rPr>
                <w:szCs w:val="21"/>
              </w:rPr>
            </w:pPr>
            <w:r>
              <w:rPr>
                <w:rFonts w:hint="eastAsia"/>
                <w:bCs/>
                <w:iCs/>
                <w:sz w:val="24"/>
              </w:rPr>
              <w:t>0.00017</w:t>
            </w:r>
          </w:p>
        </w:tc>
      </w:tr>
      <w:tr w14:paraId="332C062F">
        <w:tblPrEx>
          <w:tblCellMar>
            <w:top w:w="0" w:type="dxa"/>
            <w:left w:w="108" w:type="dxa"/>
            <w:bottom w:w="0" w:type="dxa"/>
            <w:right w:w="108" w:type="dxa"/>
          </w:tblCellMar>
        </w:tblPrEx>
        <w:trPr>
          <w:trHeight w:val="495" w:hRule="atLeast"/>
          <w:jc w:val="center"/>
        </w:trPr>
        <w:tc>
          <w:tcPr>
            <w:tcW w:w="2099" w:type="dxa"/>
            <w:tcBorders>
              <w:top w:val="single" w:color="auto" w:sz="4" w:space="0"/>
              <w:left w:val="single" w:color="auto" w:sz="4" w:space="0"/>
              <w:bottom w:val="single" w:color="auto" w:sz="4" w:space="0"/>
              <w:right w:val="single" w:color="auto" w:sz="4" w:space="0"/>
            </w:tcBorders>
            <w:shd w:val="clear" w:color="auto" w:fill="auto"/>
            <w:vAlign w:val="center"/>
          </w:tcPr>
          <w:p w14:paraId="59350D5D">
            <w:pPr>
              <w:snapToGrid w:val="0"/>
              <w:spacing w:line="360" w:lineRule="auto"/>
              <w:jc w:val="center"/>
              <w:rPr>
                <w:szCs w:val="21"/>
              </w:rPr>
            </w:pPr>
            <w:r>
              <w:rPr>
                <w:rFonts w:hint="eastAsia"/>
                <w:szCs w:val="21"/>
              </w:rPr>
              <w:t>标准样块质量</w:t>
            </w:r>
          </w:p>
        </w:tc>
        <w:tc>
          <w:tcPr>
            <w:tcW w:w="1440" w:type="dxa"/>
            <w:tcBorders>
              <w:top w:val="single" w:color="auto" w:sz="4" w:space="0"/>
              <w:left w:val="nil"/>
              <w:bottom w:val="single" w:color="auto" w:sz="4" w:space="0"/>
              <w:right w:val="single" w:color="auto" w:sz="4" w:space="0"/>
            </w:tcBorders>
            <w:shd w:val="clear" w:color="auto" w:fill="auto"/>
            <w:vAlign w:val="center"/>
          </w:tcPr>
          <w:p w14:paraId="41DEEEFF">
            <w:pPr>
              <w:snapToGrid w:val="0"/>
              <w:spacing w:line="360" w:lineRule="auto"/>
              <w:jc w:val="center"/>
              <w:rPr>
                <w:iCs/>
                <w:sz w:val="15"/>
                <w:szCs w:val="18"/>
              </w:rPr>
            </w:pPr>
            <m:oMathPara>
              <m:oMath>
                <m:d>
                  <m:dPr>
                    <m:ctrlPr>
                      <w:rPr>
                        <w:rFonts w:ascii="Cambria Math" w:hAnsi="Cambria Math"/>
                        <w:i/>
                        <w:iCs/>
                        <w:sz w:val="18"/>
                        <w:szCs w:val="18"/>
                      </w:rPr>
                    </m:ctrlPr>
                  </m:dPr>
                  <m:e>
                    <m:f>
                      <m:fPr>
                        <m:ctrlPr>
                          <w:rPr>
                            <w:rFonts w:ascii="Cambria Math" w:hAnsi="Cambria Math"/>
                            <w:i/>
                            <w:iCs/>
                            <w:sz w:val="18"/>
                            <w:szCs w:val="18"/>
                          </w:rPr>
                        </m:ctrlPr>
                      </m:fPr>
                      <m:num>
                        <m:sSub>
                          <m:sSubPr>
                            <m:ctrlPr>
                              <w:rPr>
                                <w:rFonts w:ascii="Cambria Math" w:hAnsi="Cambria Math"/>
                                <w:i/>
                                <w:iCs/>
                                <w:sz w:val="18"/>
                                <w:szCs w:val="18"/>
                              </w:rPr>
                            </m:ctrlPr>
                          </m:sSubPr>
                          <m:e>
                            <m:r>
                              <m:rPr/>
                              <w:rPr>
                                <w:rFonts w:ascii="Cambria Math" w:hAnsi="Cambria Math"/>
                                <w:sz w:val="18"/>
                                <w:szCs w:val="18"/>
                              </w:rPr>
                              <m:t>60U</m:t>
                            </m:r>
                            <m:ctrlPr>
                              <w:rPr>
                                <w:rFonts w:ascii="Cambria Math" w:hAnsi="Cambria Math"/>
                                <w:i/>
                                <w:iCs/>
                                <w:sz w:val="18"/>
                                <w:szCs w:val="18"/>
                              </w:rPr>
                            </m:ctrlPr>
                          </m:e>
                          <m:sub>
                            <m:r>
                              <m:rPr/>
                              <w:rPr>
                                <w:rFonts w:ascii="Cambria Math" w:hAnsi="Cambria Math"/>
                                <w:sz w:val="18"/>
                                <w:szCs w:val="18"/>
                              </w:rPr>
                              <m:t>m</m:t>
                            </m:r>
                            <m:ctrlPr>
                              <w:rPr>
                                <w:rFonts w:ascii="Cambria Math" w:hAnsi="Cambria Math"/>
                                <w:i/>
                                <w:iCs/>
                                <w:sz w:val="18"/>
                                <w:szCs w:val="18"/>
                              </w:rPr>
                            </m:ctrlPr>
                          </m:sub>
                        </m:sSub>
                        <m:sSub>
                          <m:sSubPr>
                            <m:ctrlPr>
                              <w:rPr>
                                <w:rFonts w:ascii="Cambria Math" w:hAnsi="Cambria Math"/>
                                <w:i/>
                                <w:iCs/>
                                <w:sz w:val="18"/>
                                <w:szCs w:val="18"/>
                              </w:rPr>
                            </m:ctrlPr>
                          </m:sSubPr>
                          <m:e>
                            <m:r>
                              <m:rPr/>
                              <w:rPr>
                                <w:rFonts w:ascii="Cambria Math" w:hAnsi="Cambria Math"/>
                                <w:sz w:val="18"/>
                                <w:szCs w:val="18"/>
                              </w:rPr>
                              <m:t>I</m:t>
                            </m:r>
                            <m:ctrlPr>
                              <w:rPr>
                                <w:rFonts w:ascii="Cambria Math" w:hAnsi="Cambria Math"/>
                                <w:i/>
                                <w:iCs/>
                                <w:sz w:val="18"/>
                                <w:szCs w:val="18"/>
                              </w:rPr>
                            </m:ctrlPr>
                          </m:e>
                          <m:sub>
                            <m:r>
                              <m:rPr/>
                              <w:rPr>
                                <w:rFonts w:ascii="Cambria Math" w:hAnsi="Cambria Math"/>
                                <w:sz w:val="18"/>
                                <w:szCs w:val="18"/>
                              </w:rPr>
                              <m:t>m</m:t>
                            </m:r>
                            <m:ctrlPr>
                              <w:rPr>
                                <w:rFonts w:ascii="Cambria Math" w:hAnsi="Cambria Math"/>
                                <w:i/>
                                <w:iCs/>
                                <w:sz w:val="18"/>
                                <w:szCs w:val="18"/>
                              </w:rPr>
                            </m:ctrlPr>
                          </m:sub>
                        </m:sSub>
                        <m:ctrlPr>
                          <w:rPr>
                            <w:rFonts w:ascii="Cambria Math" w:hAnsi="Cambria Math"/>
                            <w:i/>
                            <w:iCs/>
                            <w:sz w:val="18"/>
                            <w:szCs w:val="18"/>
                          </w:rPr>
                        </m:ctrlPr>
                      </m:num>
                      <m:den>
                        <m:sSub>
                          <m:sSubPr>
                            <m:ctrlPr>
                              <w:rPr>
                                <w:rFonts w:ascii="Cambria Math" w:hAnsi="Cambria Math"/>
                                <w:i/>
                                <w:iCs/>
                                <w:sz w:val="18"/>
                                <w:szCs w:val="18"/>
                              </w:rPr>
                            </m:ctrlPr>
                          </m:sSubPr>
                          <m:e>
                            <m:r>
                              <m:rPr/>
                              <w:rPr>
                                <w:rFonts w:ascii="Cambria Math" w:hAnsi="Cambria Math"/>
                                <w:sz w:val="18"/>
                                <w:szCs w:val="18"/>
                              </w:rPr>
                              <m:t>C</m:t>
                            </m:r>
                            <m:ctrlPr>
                              <w:rPr>
                                <w:rFonts w:ascii="Cambria Math" w:hAnsi="Cambria Math"/>
                                <w:i/>
                                <w:iCs/>
                                <w:sz w:val="18"/>
                                <w:szCs w:val="18"/>
                              </w:rPr>
                            </m:ctrlPr>
                          </m:e>
                          <m:sub>
                            <m:r>
                              <m:rPr/>
                              <w:rPr>
                                <w:rFonts w:hint="eastAsia" w:ascii="Cambria Math" w:hAnsi="Cambria Math"/>
                                <w:sz w:val="18"/>
                                <w:szCs w:val="18"/>
                              </w:rPr>
                              <m:t>p</m:t>
                            </m:r>
                            <m:ctrlPr>
                              <w:rPr>
                                <w:rFonts w:ascii="Cambria Math" w:hAnsi="Cambria Math"/>
                                <w:i/>
                                <w:iCs/>
                                <w:sz w:val="18"/>
                                <w:szCs w:val="18"/>
                              </w:rPr>
                            </m:ctrlPr>
                          </m:sub>
                        </m:sSub>
                        <m:sSup>
                          <m:sSupPr>
                            <m:ctrlPr>
                              <w:rPr>
                                <w:rFonts w:ascii="Cambria Math" w:hAnsi="Cambria Math"/>
                                <w:i/>
                                <w:iCs/>
                                <w:sz w:val="18"/>
                                <w:szCs w:val="18"/>
                              </w:rPr>
                            </m:ctrlPr>
                          </m:sSupPr>
                          <m:e>
                            <m:r>
                              <m:rPr/>
                              <w:rPr>
                                <w:rFonts w:ascii="Cambria Math" w:hAnsi="Cambria Math"/>
                                <w:sz w:val="18"/>
                                <w:szCs w:val="18"/>
                              </w:rPr>
                              <m:t>m</m:t>
                            </m:r>
                            <m:ctrlPr>
                              <w:rPr>
                                <w:rFonts w:ascii="Cambria Math" w:hAnsi="Cambria Math"/>
                                <w:i/>
                                <w:iCs/>
                                <w:sz w:val="18"/>
                                <w:szCs w:val="18"/>
                              </w:rPr>
                            </m:ctrlPr>
                          </m:e>
                          <m:sup>
                            <m:r>
                              <m:rPr/>
                              <w:rPr>
                                <w:rFonts w:ascii="Cambria Math" w:hAnsi="Cambria Math"/>
                                <w:sz w:val="18"/>
                                <w:szCs w:val="18"/>
                              </w:rPr>
                              <m:t>2</m:t>
                            </m:r>
                            <m:ctrlPr>
                              <w:rPr>
                                <w:rFonts w:ascii="Cambria Math" w:hAnsi="Cambria Math"/>
                                <w:i/>
                                <w:iCs/>
                                <w:sz w:val="18"/>
                                <w:szCs w:val="18"/>
                              </w:rPr>
                            </m:ctrlPr>
                          </m:sup>
                        </m:sSup>
                        <m:ctrlPr>
                          <w:rPr>
                            <w:rFonts w:ascii="Cambria Math" w:hAnsi="Cambria Math"/>
                            <w:i/>
                            <w:iCs/>
                            <w:sz w:val="18"/>
                            <w:szCs w:val="18"/>
                          </w:rPr>
                        </m:ctrlPr>
                      </m:den>
                    </m:f>
                    <m:ctrlPr>
                      <w:rPr>
                        <w:rFonts w:ascii="Cambria Math" w:hAnsi="Cambria Math"/>
                        <w:i/>
                        <w:iCs/>
                        <w:sz w:val="18"/>
                        <w:szCs w:val="18"/>
                      </w:rPr>
                    </m:ctrlPr>
                  </m:e>
                </m:d>
                <m:r>
                  <m:rPr/>
                  <w:rPr>
                    <w:rFonts w:hint="eastAsia" w:ascii="Cambria Math" w:hAnsi="Cambria Math" w:eastAsiaTheme="minorEastAsia"/>
                    <w:sz w:val="15"/>
                    <w:szCs w:val="18"/>
                  </w:rPr>
                  <m:t>u</m:t>
                </m:r>
                <m:d>
                  <m:dPr>
                    <m:ctrlPr>
                      <w:rPr>
                        <w:rFonts w:ascii="Cambria Math" w:hAnsi="Cambria Math" w:eastAsiaTheme="minorEastAsia"/>
                        <w:i/>
                        <w:sz w:val="15"/>
                        <w:szCs w:val="18"/>
                      </w:rPr>
                    </m:ctrlPr>
                  </m:dPr>
                  <m:e>
                    <m:r>
                      <m:rPr/>
                      <w:rPr>
                        <w:rFonts w:ascii="Cambria Math" w:hAnsi="Cambria Math"/>
                        <w:sz w:val="18"/>
                        <w:szCs w:val="18"/>
                      </w:rPr>
                      <m:t>m</m:t>
                    </m:r>
                    <m:ctrlPr>
                      <w:rPr>
                        <w:rFonts w:ascii="Cambria Math" w:hAnsi="Cambria Math" w:eastAsiaTheme="minorEastAsia"/>
                        <w:i/>
                        <w:sz w:val="15"/>
                        <w:szCs w:val="18"/>
                      </w:rPr>
                    </m:ctrlPr>
                  </m:e>
                </m:d>
              </m:oMath>
            </m:oMathPara>
          </w:p>
        </w:tc>
        <w:tc>
          <w:tcPr>
            <w:tcW w:w="1134" w:type="dxa"/>
            <w:tcBorders>
              <w:top w:val="single" w:color="auto" w:sz="4" w:space="0"/>
              <w:left w:val="nil"/>
              <w:bottom w:val="single" w:color="auto" w:sz="4" w:space="0"/>
              <w:right w:val="single" w:color="auto" w:sz="4" w:space="0"/>
            </w:tcBorders>
            <w:shd w:val="clear" w:color="auto" w:fill="auto"/>
            <w:vAlign w:val="center"/>
          </w:tcPr>
          <w:p w14:paraId="43C73E56">
            <w:pPr>
              <w:spacing w:line="360" w:lineRule="auto"/>
              <w:jc w:val="center"/>
              <w:rPr>
                <w:sz w:val="24"/>
              </w:rPr>
            </w:pPr>
            <w:r>
              <w:rPr>
                <w:rFonts w:hint="eastAsia"/>
                <w:bCs/>
                <w:iCs/>
                <w:sz w:val="24"/>
              </w:rPr>
              <w:t>0.00009</w:t>
            </w:r>
          </w:p>
        </w:tc>
        <w:tc>
          <w:tcPr>
            <w:tcW w:w="598" w:type="dxa"/>
            <w:tcBorders>
              <w:top w:val="single" w:color="auto" w:sz="4" w:space="0"/>
              <w:left w:val="nil"/>
              <w:bottom w:val="single" w:color="auto" w:sz="4" w:space="0"/>
              <w:right w:val="single" w:color="auto" w:sz="4" w:space="0"/>
            </w:tcBorders>
            <w:shd w:val="clear" w:color="auto" w:fill="auto"/>
            <w:vAlign w:val="center"/>
          </w:tcPr>
          <w:p w14:paraId="05F8964A">
            <w:pPr>
              <w:snapToGrid w:val="0"/>
              <w:spacing w:line="360" w:lineRule="auto"/>
              <w:jc w:val="center"/>
              <w:rPr>
                <w:szCs w:val="21"/>
              </w:rPr>
            </w:pPr>
            <w:r>
              <w:rPr>
                <w:szCs w:val="21"/>
              </w:rPr>
              <w:t>B</w:t>
            </w:r>
          </w:p>
        </w:tc>
        <w:tc>
          <w:tcPr>
            <w:tcW w:w="1037" w:type="dxa"/>
            <w:tcBorders>
              <w:top w:val="single" w:color="auto" w:sz="4" w:space="0"/>
              <w:left w:val="nil"/>
              <w:bottom w:val="single" w:color="auto" w:sz="4" w:space="0"/>
              <w:right w:val="single" w:color="auto" w:sz="4" w:space="0"/>
            </w:tcBorders>
            <w:shd w:val="clear" w:color="auto" w:fill="auto"/>
            <w:vAlign w:val="center"/>
          </w:tcPr>
          <w:p w14:paraId="0AD5AFCD">
            <w:pPr>
              <w:pStyle w:val="15"/>
              <w:pBdr>
                <w:bottom w:val="none" w:color="auto" w:sz="0" w:space="0"/>
              </w:pBdr>
              <w:tabs>
                <w:tab w:val="clear" w:pos="4153"/>
                <w:tab w:val="clear" w:pos="8306"/>
              </w:tabs>
              <w:spacing w:line="360" w:lineRule="auto"/>
              <w:rPr>
                <w:sz w:val="21"/>
                <w:szCs w:val="21"/>
              </w:rPr>
            </w:pPr>
            <w:r>
              <w:rPr>
                <w:sz w:val="21"/>
                <w:szCs w:val="21"/>
              </w:rPr>
              <w:t>均匀</w:t>
            </w:r>
          </w:p>
        </w:tc>
        <w:tc>
          <w:tcPr>
            <w:tcW w:w="681" w:type="dxa"/>
            <w:tcBorders>
              <w:top w:val="single" w:color="auto" w:sz="4" w:space="0"/>
              <w:left w:val="nil"/>
              <w:bottom w:val="single" w:color="auto" w:sz="4" w:space="0"/>
              <w:right w:val="single" w:color="auto" w:sz="4" w:space="0"/>
            </w:tcBorders>
            <w:shd w:val="clear" w:color="auto" w:fill="auto"/>
            <w:vAlign w:val="center"/>
          </w:tcPr>
          <w:p w14:paraId="5E1EF37A">
            <w:pPr>
              <w:snapToGrid w:val="0"/>
              <w:spacing w:line="360" w:lineRule="auto"/>
              <w:jc w:val="center"/>
              <w:rPr>
                <w:szCs w:val="21"/>
              </w:rPr>
            </w:pPr>
            <w:r>
              <w:rPr>
                <w:position w:val="-6"/>
                <w:szCs w:val="21"/>
              </w:rPr>
              <w:object>
                <v:shape id="_x0000_i1060" o:spt="75" type="#_x0000_t75" style="height:15pt;width:17.25pt;" o:ole="t" filled="f" o:preferrelative="t" stroked="f" coordsize="21600,21600">
                  <v:path/>
                  <v:fill on="f" focussize="0,0"/>
                  <v:stroke on="f" joinstyle="miter"/>
                  <v:imagedata r:id="rId79" o:title=""/>
                  <o:lock v:ext="edit" aspectratio="t"/>
                  <w10:wrap type="none"/>
                  <w10:anchorlock/>
                </v:shape>
                <o:OLEObject Type="Embed" ProgID="Equation.DSMT4" ShapeID="_x0000_i1060" DrawAspect="Content" ObjectID="_1468075760" r:id="rId82">
                  <o:LockedField>false</o:LockedField>
                </o:OLEObject>
              </w:object>
            </w:r>
          </w:p>
        </w:tc>
        <w:tc>
          <w:tcPr>
            <w:tcW w:w="1559" w:type="dxa"/>
            <w:tcBorders>
              <w:top w:val="single" w:color="auto" w:sz="4" w:space="0"/>
              <w:left w:val="nil"/>
              <w:bottom w:val="single" w:color="auto" w:sz="4" w:space="0"/>
              <w:right w:val="single" w:color="auto" w:sz="4" w:space="0"/>
            </w:tcBorders>
            <w:shd w:val="clear" w:color="auto" w:fill="auto"/>
            <w:vAlign w:val="center"/>
          </w:tcPr>
          <w:p w14:paraId="12DC0B5C">
            <w:pPr>
              <w:snapToGrid w:val="0"/>
              <w:spacing w:line="360" w:lineRule="auto"/>
              <w:jc w:val="center"/>
              <w:rPr>
                <w:bCs/>
                <w:iCs/>
                <w:sz w:val="24"/>
              </w:rPr>
            </w:pPr>
            <w:r>
              <w:rPr>
                <w:rFonts w:hint="eastAsia"/>
                <w:bCs/>
                <w:iCs/>
                <w:sz w:val="24"/>
              </w:rPr>
              <w:t>0.00006</w:t>
            </w:r>
          </w:p>
        </w:tc>
      </w:tr>
    </w:tbl>
    <w:p w14:paraId="20200F61">
      <w:pPr>
        <w:pStyle w:val="47"/>
        <w:wordWrap/>
        <w:spacing w:beforeLines="50" w:after="156" w:line="360" w:lineRule="auto"/>
        <w:ind w:right="-105"/>
        <w:outlineLvl w:val="9"/>
        <w:rPr>
          <w:rFonts w:ascii="Times New Roman" w:eastAsia="宋体"/>
          <w:sz w:val="24"/>
          <w:szCs w:val="24"/>
        </w:rPr>
      </w:pPr>
      <w:bookmarkStart w:id="125" w:name="_Toc29276"/>
      <w:bookmarkStart w:id="126" w:name="_Toc6066"/>
      <w:bookmarkStart w:id="127" w:name="_Toc7223"/>
      <w:bookmarkStart w:id="128" w:name="_Toc24747"/>
      <w:bookmarkStart w:id="129" w:name="_Toc184838700"/>
      <w:bookmarkStart w:id="130" w:name="_Toc25833"/>
      <w:r>
        <w:rPr>
          <w:rFonts w:hint="eastAsia" w:ascii="Times New Roman" w:eastAsia="宋体"/>
          <w:sz w:val="24"/>
          <w:szCs w:val="24"/>
        </w:rPr>
        <w:t xml:space="preserve">A.5 </w:t>
      </w:r>
      <w:r>
        <w:rPr>
          <w:rFonts w:ascii="Times New Roman" w:eastAsia="宋体"/>
          <w:sz w:val="24"/>
          <w:szCs w:val="24"/>
        </w:rPr>
        <w:t>合成标准不确定度的计算</w:t>
      </w:r>
      <w:bookmarkEnd w:id="125"/>
      <w:bookmarkEnd w:id="126"/>
      <w:bookmarkEnd w:id="127"/>
      <w:bookmarkEnd w:id="128"/>
      <w:bookmarkEnd w:id="129"/>
      <w:bookmarkEnd w:id="130"/>
    </w:p>
    <w:p w14:paraId="32AA876B">
      <w:pPr>
        <w:spacing w:line="360" w:lineRule="auto"/>
        <w:ind w:firstLine="480" w:firstLineChars="200"/>
      </w:pPr>
      <w:r>
        <w:rPr>
          <w:sz w:val="24"/>
        </w:rPr>
        <w:t>合成标准不确定度按公式(A.</w:t>
      </w:r>
      <w:r>
        <w:rPr>
          <w:rFonts w:hint="eastAsia"/>
          <w:sz w:val="24"/>
        </w:rPr>
        <w:t>5</w:t>
      </w:r>
      <w:r>
        <w:rPr>
          <w:sz w:val="24"/>
        </w:rPr>
        <w:t>)计算可得：</w:t>
      </w:r>
      <w:r>
        <w:tab/>
      </w:r>
    </w:p>
    <w:p w14:paraId="4569CDEC">
      <w:pPr>
        <w:spacing w:line="360" w:lineRule="auto"/>
        <w:jc w:val="center"/>
      </w:pPr>
      <m:oMath>
        <m:sSub>
          <m:sSubPr>
            <m:ctrlPr>
              <w:rPr>
                <w:rFonts w:ascii="Cambria Math" w:hAnsi="Cambria Math"/>
                <w:i/>
                <w:sz w:val="24"/>
              </w:rPr>
            </m:ctrlPr>
          </m:sSubPr>
          <m:e>
            <m:r>
              <m:rPr/>
              <w:rPr>
                <w:rFonts w:ascii="Cambria Math"/>
                <w:sz w:val="24"/>
              </w:rPr>
              <m:t>u</m:t>
            </m:r>
            <m:ctrlPr>
              <w:rPr>
                <w:rFonts w:ascii="Cambria Math" w:hAnsi="Cambria Math"/>
                <w:i/>
                <w:sz w:val="24"/>
              </w:rPr>
            </m:ctrlPr>
          </m:e>
          <m:sub>
            <m:r>
              <m:rPr/>
              <w:rPr>
                <w:rFonts w:ascii="Cambria Math"/>
                <w:sz w:val="24"/>
              </w:rPr>
              <m:t>c</m:t>
            </m:r>
            <m:ctrlPr>
              <w:rPr>
                <w:rFonts w:ascii="Cambria Math" w:hAnsi="Cambria Math"/>
                <w:i/>
                <w:sz w:val="24"/>
              </w:rPr>
            </m:ctrlPr>
          </m:sub>
        </m:sSub>
        <m:r>
          <m:rPr/>
          <w:rPr>
            <w:rFonts w:ascii="Cambria Math"/>
            <w:sz w:val="24"/>
          </w:rPr>
          <m:t>(</m:t>
        </m:r>
        <m:r>
          <m:rPr/>
          <w:rPr>
            <w:rFonts w:ascii="Cambria Math" w:hAnsi="Cambria Math"/>
            <w:sz w:val="24"/>
          </w:rPr>
          <m:t>ϵ</m:t>
        </m:r>
        <m:r>
          <m:rPr/>
          <w:rPr>
            <w:rFonts w:ascii="Cambria Math"/>
            <w:sz w:val="24"/>
          </w:rPr>
          <m:t>)=</m:t>
        </m:r>
        <m:rad>
          <m:radPr>
            <m:degHide m:val="1"/>
            <m:ctrlPr>
              <w:rPr>
                <w:rFonts w:ascii="Cambria Math" w:hAnsi="Cambria Math"/>
                <w:i/>
                <w:sz w:val="24"/>
              </w:rPr>
            </m:ctrlPr>
          </m:radPr>
          <m:deg>
            <m:ctrlPr>
              <w:rPr>
                <w:rFonts w:ascii="Cambria Math" w:hAnsi="Cambria Math"/>
                <w:i/>
                <w:sz w:val="24"/>
              </w:rPr>
            </m:ctrlPr>
          </m:deg>
          <m:e>
            <m:sSup>
              <m:sSupPr>
                <m:ctrlPr>
                  <w:rPr>
                    <w:rFonts w:ascii="Cambria Math" w:hAnsi="Cambria Math"/>
                    <w:i/>
                    <w:sz w:val="24"/>
                  </w:rPr>
                </m:ctrlPr>
              </m:sSupPr>
              <m:e>
                <m:d>
                  <m:dPr>
                    <m:ctrlPr>
                      <w:rPr>
                        <w:rFonts w:ascii="Cambria Math" w:hAnsi="Cambria Math"/>
                        <w:i/>
                        <w:sz w:val="24"/>
                      </w:rPr>
                    </m:ctrlPr>
                  </m:dPr>
                  <m:e>
                    <m:r>
                      <m:rPr>
                        <m:sty m:val="p"/>
                      </m:rPr>
                      <w:rPr>
                        <w:rFonts w:ascii="Cambria Math" w:hAnsi="Cambria Math"/>
                        <w:sz w:val="24"/>
                      </w:rPr>
                      <m:t>0.</m:t>
                    </m:r>
                    <m:r>
                      <m:rPr>
                        <m:sty m:val="p"/>
                      </m:rPr>
                      <w:rPr>
                        <w:rFonts w:hint="eastAsia" w:ascii="Cambria Math" w:hAnsi="Cambria Math"/>
                        <w:sz w:val="24"/>
                      </w:rPr>
                      <m:t>00049</m:t>
                    </m:r>
                    <m:ctrlPr>
                      <w:rPr>
                        <w:rFonts w:ascii="Cambria Math" w:hAnsi="Cambria Math"/>
                        <w:i/>
                        <w:sz w:val="24"/>
                      </w:rPr>
                    </m:ctrlPr>
                  </m:e>
                </m:d>
                <m:ctrlPr>
                  <w:rPr>
                    <w:rFonts w:ascii="Cambria Math" w:hAnsi="Cambria Math"/>
                    <w:i/>
                    <w:sz w:val="24"/>
                  </w:rPr>
                </m:ctrlPr>
              </m:e>
              <m:sup>
                <m:r>
                  <m:rPr/>
                  <w:rPr>
                    <w:rFonts w:ascii="Cambria Math"/>
                    <w:sz w:val="24"/>
                  </w:rPr>
                  <m:t>2</m:t>
                </m:r>
                <m:ctrlPr>
                  <w:rPr>
                    <w:rFonts w:ascii="Cambria Math" w:hAnsi="Cambria Math"/>
                    <w:i/>
                    <w:sz w:val="24"/>
                  </w:rPr>
                </m:ctrlPr>
              </m:sup>
            </m:sSup>
            <m:r>
              <m:rPr/>
              <w:rPr>
                <w:rFonts w:ascii="Cambria Math"/>
                <w:sz w:val="24"/>
              </w:rPr>
              <m:t>+</m:t>
            </m:r>
            <m:sSup>
              <m:sSupPr>
                <m:ctrlPr>
                  <w:rPr>
                    <w:rFonts w:ascii="Cambria Math" w:hAnsi="Cambria Math"/>
                    <w:i/>
                    <w:sz w:val="24"/>
                  </w:rPr>
                </m:ctrlPr>
              </m:sSupPr>
              <m:e>
                <m:d>
                  <m:dPr>
                    <m:ctrlPr>
                      <w:rPr>
                        <w:rFonts w:ascii="Cambria Math" w:hAnsi="Cambria Math"/>
                        <w:i/>
                        <w:sz w:val="24"/>
                      </w:rPr>
                    </m:ctrlPr>
                  </m:dPr>
                  <m:e>
                    <m:r>
                      <m:rPr>
                        <m:sty m:val="p"/>
                      </m:rPr>
                      <w:rPr>
                        <w:rFonts w:hint="eastAsia" w:ascii="Cambria Math" w:hAnsi="Cambria Math"/>
                        <w:sz w:val="24"/>
                      </w:rPr>
                      <m:t>0.00001</m:t>
                    </m:r>
                    <m:ctrlPr>
                      <w:rPr>
                        <w:rFonts w:ascii="Cambria Math" w:hAnsi="Cambria Math"/>
                        <w:i/>
                        <w:sz w:val="24"/>
                      </w:rPr>
                    </m:ctrlPr>
                  </m:e>
                </m:d>
                <m:ctrlPr>
                  <w:rPr>
                    <w:rFonts w:ascii="Cambria Math" w:hAnsi="Cambria Math"/>
                    <w:i/>
                    <w:sz w:val="24"/>
                  </w:rPr>
                </m:ctrlPr>
              </m:e>
              <m:sup>
                <m:r>
                  <m:rPr/>
                  <w:rPr>
                    <w:rFonts w:ascii="Cambria Math"/>
                    <w:sz w:val="24"/>
                  </w:rPr>
                  <m:t>2</m:t>
                </m:r>
                <m:ctrlPr>
                  <w:rPr>
                    <w:rFonts w:ascii="Cambria Math" w:hAnsi="Cambria Math"/>
                    <w:i/>
                    <w:sz w:val="24"/>
                  </w:rPr>
                </m:ctrlPr>
              </m:sup>
            </m:sSup>
            <m:r>
              <m:rPr/>
              <w:rPr>
                <w:rFonts w:ascii="Cambria Math"/>
                <w:sz w:val="24"/>
              </w:rPr>
              <m:t>+</m:t>
            </m:r>
            <m:sSup>
              <m:sSupPr>
                <m:ctrlPr>
                  <w:rPr>
                    <w:rFonts w:ascii="Cambria Math" w:hAnsi="Cambria Math"/>
                    <w:i/>
                    <w:sz w:val="24"/>
                  </w:rPr>
                </m:ctrlPr>
              </m:sSupPr>
              <m:e>
                <m:d>
                  <m:dPr>
                    <m:ctrlPr>
                      <w:rPr>
                        <w:rFonts w:ascii="Cambria Math" w:hAnsi="Cambria Math"/>
                        <w:i/>
                        <w:sz w:val="24"/>
                      </w:rPr>
                    </m:ctrlPr>
                  </m:dPr>
                  <m:e>
                    <m:r>
                      <m:rPr>
                        <m:sty m:val="p"/>
                      </m:rPr>
                      <w:rPr>
                        <w:rFonts w:hint="eastAsia" w:ascii="Cambria Math" w:hAnsi="Cambria Math"/>
                        <w:sz w:val="24"/>
                      </w:rPr>
                      <m:t>0.00001</m:t>
                    </m:r>
                    <m:ctrlPr>
                      <w:rPr>
                        <w:rFonts w:ascii="Cambria Math" w:hAnsi="Cambria Math"/>
                        <w:i/>
                        <w:sz w:val="24"/>
                      </w:rPr>
                    </m:ctrlPr>
                  </m:e>
                </m:d>
                <m:ctrlPr>
                  <w:rPr>
                    <w:rFonts w:ascii="Cambria Math" w:hAnsi="Cambria Math"/>
                    <w:i/>
                    <w:sz w:val="24"/>
                  </w:rPr>
                </m:ctrlPr>
              </m:e>
              <m:sup>
                <m:r>
                  <m:rPr/>
                  <w:rPr>
                    <w:rFonts w:ascii="Cambria Math"/>
                    <w:sz w:val="24"/>
                  </w:rPr>
                  <m:t>2</m:t>
                </m:r>
                <m:ctrlPr>
                  <w:rPr>
                    <w:rFonts w:ascii="Cambria Math" w:hAnsi="Cambria Math"/>
                    <w:i/>
                    <w:sz w:val="24"/>
                  </w:rPr>
                </m:ctrlPr>
              </m:sup>
            </m:sSup>
            <m:r>
              <m:rPr/>
              <w:rPr>
                <w:rFonts w:ascii="Cambria Math"/>
                <w:sz w:val="24"/>
              </w:rPr>
              <m:t>+</m:t>
            </m:r>
            <m:sSup>
              <m:sSupPr>
                <m:ctrlPr>
                  <w:rPr>
                    <w:rFonts w:ascii="Cambria Math" w:hAnsi="Cambria Math"/>
                    <w:i/>
                    <w:sz w:val="24"/>
                  </w:rPr>
                </m:ctrlPr>
              </m:sSupPr>
              <m:e>
                <m:d>
                  <m:dPr>
                    <m:ctrlPr>
                      <w:rPr>
                        <w:rFonts w:ascii="Cambria Math" w:hAnsi="Cambria Math"/>
                        <w:i/>
                        <w:sz w:val="24"/>
                      </w:rPr>
                    </m:ctrlPr>
                  </m:dPr>
                  <m:e>
                    <m:r>
                      <m:rPr>
                        <m:sty m:val="p"/>
                      </m:rPr>
                      <w:rPr>
                        <w:rFonts w:hint="eastAsia" w:ascii="Cambria Math" w:hAnsi="Cambria Math"/>
                        <w:sz w:val="24"/>
                      </w:rPr>
                      <m:t>0.00017</m:t>
                    </m:r>
                    <m:ctrlPr>
                      <w:rPr>
                        <w:rFonts w:ascii="Cambria Math" w:hAnsi="Cambria Math"/>
                        <w:i/>
                        <w:sz w:val="24"/>
                      </w:rPr>
                    </m:ctrlPr>
                  </m:e>
                </m:d>
                <m:ctrlPr>
                  <w:rPr>
                    <w:rFonts w:ascii="Cambria Math" w:hAnsi="Cambria Math"/>
                    <w:i/>
                    <w:sz w:val="24"/>
                  </w:rPr>
                </m:ctrlPr>
              </m:e>
              <m:sup>
                <m:r>
                  <m:rPr/>
                  <w:rPr>
                    <w:rFonts w:ascii="Cambria Math"/>
                    <w:sz w:val="24"/>
                  </w:rPr>
                  <m:t>2</m:t>
                </m:r>
                <m:ctrlPr>
                  <w:rPr>
                    <w:rFonts w:ascii="Cambria Math" w:hAnsi="Cambria Math"/>
                    <w:i/>
                    <w:sz w:val="24"/>
                  </w:rPr>
                </m:ctrlPr>
              </m:sup>
            </m:sSup>
            <m:r>
              <m:rPr/>
              <w:rPr>
                <w:rFonts w:ascii="Cambria Math"/>
                <w:sz w:val="24"/>
              </w:rPr>
              <m:t>+</m:t>
            </m:r>
            <m:sSup>
              <m:sSupPr>
                <m:ctrlPr>
                  <w:rPr>
                    <w:rFonts w:ascii="Cambria Math" w:hAnsi="Cambria Math"/>
                    <w:i/>
                    <w:sz w:val="24"/>
                  </w:rPr>
                </m:ctrlPr>
              </m:sSupPr>
              <m:e>
                <m:d>
                  <m:dPr>
                    <m:ctrlPr>
                      <w:rPr>
                        <w:rFonts w:ascii="Cambria Math" w:hAnsi="Cambria Math"/>
                        <w:i/>
                        <w:sz w:val="24"/>
                      </w:rPr>
                    </m:ctrlPr>
                  </m:dPr>
                  <m:e>
                    <m:r>
                      <m:rPr>
                        <m:sty m:val="p"/>
                      </m:rPr>
                      <w:rPr>
                        <w:rFonts w:hint="eastAsia" w:ascii="Cambria Math" w:hAnsi="Cambria Math"/>
                        <w:sz w:val="24"/>
                      </w:rPr>
                      <m:t>0.000</m:t>
                    </m:r>
                    <m:r>
                      <m:rPr>
                        <m:sty m:val="p"/>
                      </m:rPr>
                      <w:rPr>
                        <w:rFonts w:ascii="Cambria Math" w:hAnsi="Cambria Math"/>
                        <w:sz w:val="24"/>
                      </w:rPr>
                      <m:t>06</m:t>
                    </m:r>
                    <m:ctrlPr>
                      <w:rPr>
                        <w:rFonts w:ascii="Cambria Math" w:hAnsi="Cambria Math"/>
                        <w:i/>
                        <w:sz w:val="24"/>
                      </w:rPr>
                    </m:ctrlPr>
                  </m:e>
                </m:d>
                <m:ctrlPr>
                  <w:rPr>
                    <w:rFonts w:ascii="Cambria Math" w:hAnsi="Cambria Math"/>
                    <w:i/>
                    <w:sz w:val="24"/>
                  </w:rPr>
                </m:ctrlPr>
              </m:e>
              <m:sup>
                <m:r>
                  <m:rPr/>
                  <w:rPr>
                    <w:rFonts w:ascii="Cambria Math"/>
                    <w:sz w:val="24"/>
                  </w:rPr>
                  <m:t>2</m:t>
                </m:r>
                <m:ctrlPr>
                  <w:rPr>
                    <w:rFonts w:ascii="Cambria Math" w:hAnsi="Cambria Math"/>
                    <w:i/>
                    <w:sz w:val="24"/>
                  </w:rPr>
                </m:ctrlPr>
              </m:sup>
            </m:sSup>
            <m:ctrlPr>
              <w:rPr>
                <w:rFonts w:ascii="Cambria Math" w:hAnsi="Cambria Math"/>
                <w:i/>
                <w:sz w:val="24"/>
              </w:rPr>
            </m:ctrlPr>
          </m:e>
        </m:rad>
        <m:r>
          <m:rPr/>
          <w:rPr>
            <w:rFonts w:ascii="Cambria Math"/>
            <w:sz w:val="24"/>
          </w:rPr>
          <m:t>=0.00052</m:t>
        </m:r>
      </m:oMath>
      <w:r>
        <w:rPr>
          <w:sz w:val="24"/>
        </w:rPr>
        <w:t>℃</w:t>
      </w:r>
      <w:r>
        <w:rPr>
          <w:rFonts w:hint="eastAsia"/>
          <w:sz w:val="24"/>
        </w:rPr>
        <w:t>/min</w:t>
      </w:r>
    </w:p>
    <w:p w14:paraId="3570E0DE">
      <w:pPr>
        <w:pStyle w:val="47"/>
        <w:wordWrap/>
        <w:spacing w:before="156" w:after="156" w:line="360" w:lineRule="auto"/>
        <w:ind w:right="-105"/>
        <w:outlineLvl w:val="9"/>
        <w:rPr>
          <w:rFonts w:ascii="Times New Roman" w:eastAsia="宋体"/>
          <w:sz w:val="24"/>
          <w:szCs w:val="24"/>
        </w:rPr>
      </w:pPr>
      <w:bookmarkStart w:id="131" w:name="_Toc5750"/>
      <w:bookmarkStart w:id="132" w:name="_Toc184838701"/>
      <w:bookmarkStart w:id="133" w:name="_Toc30314"/>
      <w:bookmarkStart w:id="134" w:name="_Toc16271"/>
      <w:bookmarkStart w:id="135" w:name="_Toc26053"/>
      <w:bookmarkStart w:id="136" w:name="_Toc10462"/>
      <w:r>
        <w:rPr>
          <w:rFonts w:hint="eastAsia" w:ascii="Times New Roman" w:eastAsia="宋体"/>
          <w:sz w:val="24"/>
          <w:szCs w:val="24"/>
        </w:rPr>
        <w:t xml:space="preserve">A.6 </w:t>
      </w:r>
      <w:r>
        <w:rPr>
          <w:rFonts w:ascii="Times New Roman" w:eastAsia="宋体"/>
          <w:sz w:val="24"/>
          <w:szCs w:val="24"/>
        </w:rPr>
        <w:t>扩展不确定度的确定</w:t>
      </w:r>
      <w:bookmarkEnd w:id="131"/>
      <w:bookmarkEnd w:id="132"/>
      <w:bookmarkEnd w:id="133"/>
      <w:bookmarkEnd w:id="134"/>
      <w:bookmarkEnd w:id="135"/>
      <w:bookmarkEnd w:id="136"/>
    </w:p>
    <w:p w14:paraId="6D6B3CF6">
      <w:pPr>
        <w:snapToGrid w:val="0"/>
        <w:spacing w:line="360" w:lineRule="auto"/>
        <w:ind w:firstLine="480" w:firstLineChars="200"/>
        <w:rPr>
          <w:color w:val="000000"/>
          <w:sz w:val="24"/>
        </w:rPr>
      </w:pPr>
      <w:r>
        <w:rPr>
          <w:color w:val="000000"/>
          <w:sz w:val="24"/>
        </w:rPr>
        <w:t>取包含因子</w:t>
      </w:r>
      <w:r>
        <w:rPr>
          <w:i/>
          <w:color w:val="000000"/>
          <w:sz w:val="24"/>
        </w:rPr>
        <w:t>k</w:t>
      </w:r>
      <w:r>
        <w:rPr>
          <w:color w:val="000000"/>
          <w:sz w:val="24"/>
        </w:rPr>
        <w:t>=2</w:t>
      </w:r>
      <w:r>
        <w:rPr>
          <w:sz w:val="24"/>
        </w:rPr>
        <w:t>，</w:t>
      </w:r>
      <w:r>
        <w:rPr>
          <w:color w:val="000000"/>
          <w:sz w:val="24"/>
        </w:rPr>
        <w:t>则扩展不确定度为：</w:t>
      </w:r>
    </w:p>
    <w:p w14:paraId="22269E2E">
      <w:pPr>
        <w:spacing w:line="360" w:lineRule="auto"/>
        <w:jc w:val="center"/>
      </w:pPr>
      <m:oMath>
        <m:r>
          <m:rPr/>
          <w:rPr>
            <w:rFonts w:ascii="Cambria Math"/>
            <w:szCs w:val="21"/>
          </w:rPr>
          <m:t>U(</m:t>
        </m:r>
        <m:r>
          <m:rPr/>
          <w:rPr>
            <w:rFonts w:ascii="Cambria Math" w:hAnsi="Cambria Math"/>
            <w:sz w:val="24"/>
          </w:rPr>
          <m:t>ϵ</m:t>
        </m:r>
        <m:r>
          <m:rPr/>
          <w:rPr>
            <w:rFonts w:ascii="Cambria Math"/>
            <w:szCs w:val="21"/>
          </w:rPr>
          <m:t>)=k×</m:t>
        </m:r>
        <m:sSub>
          <m:sSubPr>
            <m:ctrlPr>
              <w:rPr>
                <w:rFonts w:ascii="Cambria Math" w:hAnsi="Cambria Math"/>
                <w:i/>
                <w:sz w:val="24"/>
              </w:rPr>
            </m:ctrlPr>
          </m:sSubPr>
          <m:e>
            <m:r>
              <m:rPr/>
              <w:rPr>
                <w:rFonts w:ascii="Cambria Math"/>
                <w:sz w:val="24"/>
              </w:rPr>
              <m:t>u</m:t>
            </m:r>
            <m:ctrlPr>
              <w:rPr>
                <w:rFonts w:ascii="Cambria Math" w:hAnsi="Cambria Math"/>
                <w:i/>
                <w:sz w:val="24"/>
              </w:rPr>
            </m:ctrlPr>
          </m:e>
          <m:sub>
            <m:r>
              <m:rPr/>
              <w:rPr>
                <w:rFonts w:ascii="Cambria Math"/>
                <w:sz w:val="24"/>
              </w:rPr>
              <m:t>c</m:t>
            </m:r>
            <m:ctrlPr>
              <w:rPr>
                <w:rFonts w:ascii="Cambria Math" w:hAnsi="Cambria Math"/>
                <w:i/>
                <w:sz w:val="24"/>
              </w:rPr>
            </m:ctrlPr>
          </m:sub>
        </m:sSub>
        <m:r>
          <m:rPr/>
          <w:rPr>
            <w:rFonts w:ascii="Cambria Math"/>
            <w:sz w:val="24"/>
          </w:rPr>
          <m:t>(</m:t>
        </m:r>
        <m:r>
          <m:rPr/>
          <w:rPr>
            <w:rFonts w:ascii="Cambria Math" w:hAnsi="Cambria Math"/>
            <w:sz w:val="24"/>
          </w:rPr>
          <m:t>ϵ</m:t>
        </m:r>
        <m:r>
          <m:rPr/>
          <w:rPr>
            <w:rFonts w:ascii="Cambria Math"/>
            <w:sz w:val="24"/>
          </w:rPr>
          <m:t>)</m:t>
        </m:r>
        <m:r>
          <m:rPr/>
          <w:rPr>
            <w:rFonts w:ascii="Cambria Math"/>
            <w:szCs w:val="21"/>
          </w:rPr>
          <m:t>=</m:t>
        </m:r>
        <m:r>
          <m:rPr/>
          <w:rPr>
            <w:rFonts w:ascii="Cambria Math"/>
            <w:sz w:val="24"/>
          </w:rPr>
          <m:t>0.0011</m:t>
        </m:r>
      </m:oMath>
      <w:r>
        <w:rPr>
          <w:sz w:val="24"/>
        </w:rPr>
        <w:t>℃</w:t>
      </w:r>
      <w:r>
        <w:rPr>
          <w:rFonts w:hint="eastAsia"/>
          <w:sz w:val="24"/>
        </w:rPr>
        <w:t>/min</w:t>
      </w:r>
    </w:p>
    <w:p w14:paraId="469DC09F">
      <w:pPr>
        <w:spacing w:line="360" w:lineRule="auto"/>
        <w:rPr>
          <w:sz w:val="24"/>
        </w:rPr>
      </w:pPr>
    </w:p>
    <w:sectPr>
      <w:pgSz w:w="12240" w:h="15840"/>
      <w:pgMar w:top="1440" w:right="1800" w:bottom="1702"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MS Mincho">
    <w:altName w:val="Kozuka Mincho Pr6N R"/>
    <w:panose1 w:val="02020609040205080304"/>
    <w:charset w:val="80"/>
    <w:family w:val="modern"/>
    <w:pitch w:val="default"/>
    <w:sig w:usb0="00000000" w:usb1="00000000" w:usb2="00000012" w:usb3="00000000" w:csb0="0002009F" w:csb1="00000000"/>
  </w:font>
  <w:font w:name="ＭＳ 明朝">
    <w:altName w:val="SWAstro"/>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Kozuka Mincho Pr6N R">
    <w:panose1 w:val="02020400000000000000"/>
    <w:charset w:val="80"/>
    <w:family w:val="auto"/>
    <w:pitch w:val="default"/>
    <w:sig w:usb0="000002D7" w:usb1="2AC73C11" w:usb2="00000012"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E40CB">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43B39">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9DEE9">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B9836">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BE8F">
    <w:pPr>
      <w:pStyle w:val="1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A37DE">
    <w:pPr>
      <w:pStyle w:val="14"/>
    </w:pPr>
    <w:r>
      <w:pict>
        <v:shape id="文本框 25" o:spid="_x0000_s1027"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rviE0AgAAZQQAAA4AAABkcnMvZTJvRG9jLnhtbK1UzY7TMBC+I/EO&#10;lu80adGuSt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Vq74hNAIAAGUEAAAOAAAAAAAAAAEAIAAAAB8BAABkcnMvZTJvRG9jLnhtbFBL&#10;BQYAAAAABgAGAFkBAADFBQAAAAA=&#10;">
          <v:path/>
          <v:fill on="f" focussize="0,0"/>
          <v:stroke on="f" weight="0.5pt" joinstyle="miter"/>
          <v:imagedata o:title=""/>
          <o:lock v:ext="edit"/>
          <v:textbox inset="0mm,0mm,0mm,0mm" style="mso-fit-shape-to-text:t;">
            <w:txbxContent>
              <w:p w14:paraId="6B4D9B28">
                <w:pPr>
                  <w:pStyle w:val="14"/>
                  <w:rPr>
                    <w:rStyle w:val="24"/>
                  </w:rPr>
                </w:pPr>
                <w:r>
                  <w:fldChar w:fldCharType="begin"/>
                </w:r>
                <w:r>
                  <w:rPr>
                    <w:rStyle w:val="24"/>
                  </w:rPr>
                  <w:instrText xml:space="preserve">PAGE  </w:instrText>
                </w:r>
                <w:r>
                  <w:fldChar w:fldCharType="separate"/>
                </w:r>
                <w:r>
                  <w:rPr>
                    <w:rStyle w:val="24"/>
                  </w:rPr>
                  <w:t>19</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F322E">
    <w:pPr>
      <w:pStyle w:val="14"/>
    </w:pPr>
    <w:r>
      <w:pict>
        <v:shape id="文本框 26" o:spid="_x0000_s1028"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bxqXgzAgAAZQQAAA4AAAAAAAAAAQAgAAAAHwEAAGRycy9lMm9Eb2MueG1sUEsF&#10;BgAAAAAGAAYAWQEAAMQFAAAAAA==&#10;">
          <v:path/>
          <v:fill on="f" focussize="0,0"/>
          <v:stroke on="f" weight="0.5pt" joinstyle="miter"/>
          <v:imagedata o:title=""/>
          <o:lock v:ext="edit"/>
          <v:textbox inset="0mm,0mm,0mm,0mm" style="mso-fit-shape-to-text:t;">
            <w:txbxContent>
              <w:p w14:paraId="17CFAD22">
                <w:pPr>
                  <w:pStyle w:val="14"/>
                </w:pPr>
                <w:r>
                  <w:fldChar w:fldCharType="begin"/>
                </w:r>
                <w:r>
                  <w:instrText xml:space="preserve"> PAGE  \* MERGEFORMAT </w:instrText>
                </w:r>
                <w:r>
                  <w:fldChar w:fldCharType="separate"/>
                </w:r>
                <w:r>
                  <w:t>I</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99BD">
    <w:pPr>
      <w:pStyle w:val="14"/>
    </w:pPr>
    <w:r>
      <w:pict>
        <v:shape id="文本框 1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Hgozwy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0eCjPDICAABlBAAADgAAAAAAAAABACAAAAAfAQAAZHJzL2Uyb0RvYy54bWxQSwUG&#10;AAAAAAYABgBZAQAAwwUAAAAA&#10;">
          <v:path/>
          <v:fill on="f" focussize="0,0"/>
          <v:stroke on="f" weight="0.5pt" joinstyle="miter"/>
          <v:imagedata o:title=""/>
          <o:lock v:ext="edit"/>
          <v:textbox inset="0mm,0mm,0mm,0mm" style="mso-fit-shape-to-text:t;">
            <w:txbxContent>
              <w:p w14:paraId="516E154D">
                <w:pPr>
                  <w:pStyle w:val="14"/>
                  <w:rPr>
                    <w:rStyle w:val="24"/>
                  </w:rPr>
                </w:pPr>
                <w:r>
                  <w:fldChar w:fldCharType="begin"/>
                </w:r>
                <w:r>
                  <w:rPr>
                    <w:rStyle w:val="24"/>
                  </w:rPr>
                  <w:instrText xml:space="preserve">PAGE  </w:instrText>
                </w:r>
                <w:r>
                  <w:fldChar w:fldCharType="separate"/>
                </w:r>
                <w:r>
                  <w:rPr>
                    <w:rStyle w:val="24"/>
                  </w:rPr>
                  <w:t>II</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5A0DB">
    <w:pPr>
      <w:pStyle w:val="14"/>
    </w:pPr>
    <w:r>
      <w:pict>
        <v:shape id="文本框 24" o:spid="_x0000_s1025"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i0EzAgAAZQQAAA4AAAAAAAAAAQAgAAAAHwEAAGRycy9lMm9Eb2MueG1sUEsF&#10;BgAAAAAGAAYAWQEAAMQFAAAAAA==&#10;">
          <v:path/>
          <v:fill on="f" focussize="0,0"/>
          <v:stroke on="f" weight="0.5pt" joinstyle="miter"/>
          <v:imagedata o:title=""/>
          <o:lock v:ext="edit"/>
          <v:textbox inset="0mm,0mm,0mm,0mm" style="mso-fit-shape-to-text:t;">
            <w:txbxContent>
              <w:p w14:paraId="7335C1F5">
                <w:pPr>
                  <w:pStyle w:val="14"/>
                  <w:rPr>
                    <w:rStyle w:val="24"/>
                  </w:rPr>
                </w:pPr>
                <w:r>
                  <w:fldChar w:fldCharType="begin"/>
                </w:r>
                <w:r>
                  <w:rPr>
                    <w:rStyle w:val="24"/>
                  </w:rPr>
                  <w:instrText xml:space="preserve">PAGE  </w:instrText>
                </w:r>
                <w:r>
                  <w:fldChar w:fldCharType="separate"/>
                </w:r>
                <w:r>
                  <w:rPr>
                    <w:rStyle w:val="24"/>
                  </w:rPr>
                  <w:t>19</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A32A3">
    <w:pPr>
      <w:pStyle w:val="15"/>
      <w:rPr>
        <w:rFonts w:ascii="黑体" w:eastAsia="黑体"/>
        <w:sz w:val="21"/>
        <w:szCs w:val="21"/>
      </w:rPr>
    </w:pPr>
    <w:r>
      <w:rPr>
        <w:rFonts w:hint="eastAsia" w:ascii="黑体" w:eastAsia="黑体"/>
        <w:sz w:val="21"/>
        <w:szCs w:val="21"/>
      </w:rPr>
      <w:t>JJF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5B45D">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23E57">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142" w:firstLine="0"/>
      </w:pPr>
      <w:rPr>
        <w:rFonts w:hint="default" w:ascii="Times New Roman" w:hAnsi="Times New Roman" w:eastAsia="黑体" w:cs="Times New Roman"/>
        <w:b w:val="0"/>
        <w:i w:val="0"/>
        <w:sz w:val="24"/>
        <w:szCs w:val="24"/>
        <w:lang w:val="en-US"/>
      </w:rPr>
    </w:lvl>
    <w:lvl w:ilvl="2" w:tentative="0">
      <w:start w:val="1"/>
      <w:numFmt w:val="decimal"/>
      <w:suff w:val="nothing"/>
      <w:lvlText w:val="%1%2.%3　"/>
      <w:lvlJc w:val="left"/>
      <w:pPr>
        <w:ind w:left="284" w:firstLine="0"/>
      </w:pPr>
      <w:rPr>
        <w:rFonts w:hint="default" w:ascii="Times New Roman" w:hAnsi="Times New Roman" w:eastAsia="宋体" w:cs="Times New Roman"/>
        <w:b w:val="0"/>
        <w:i w:val="0"/>
        <w:sz w:val="24"/>
        <w:szCs w:val="24"/>
      </w:rPr>
    </w:lvl>
    <w:lvl w:ilvl="3" w:tentative="0">
      <w:start w:val="1"/>
      <w:numFmt w:val="decimal"/>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lowerLetter"/>
      <w:suff w:val="nothing"/>
      <w:lvlText w:val="%6)"/>
      <w:lvlJc w:val="left"/>
      <w:pPr>
        <w:ind w:left="0" w:firstLine="0"/>
      </w:pPr>
      <w:rPr>
        <w:rFonts w:ascii="黑体" w:hAnsi="宋体" w:eastAsia="黑体" w:cs="Times New Roman"/>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8A22B84"/>
    <w:multiLevelType w:val="multilevel"/>
    <w:tmpl w:val="48A22B84"/>
    <w:lvl w:ilvl="0" w:tentative="0">
      <w:start w:val="1"/>
      <w:numFmt w:val="japaneseCounting"/>
      <w:lvlText w:val="%1．"/>
      <w:lvlJc w:val="left"/>
      <w:pPr>
        <w:ind w:left="432" w:hanging="432"/>
      </w:pPr>
      <w:rPr>
        <w:rFonts w:hint="default" w:ascii="Times New Roman" w:hAnsi="Times New Roman"/>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EF42A72"/>
    <w:multiLevelType w:val="multilevel"/>
    <w:tmpl w:val="7EF42A72"/>
    <w:lvl w:ilvl="0" w:tentative="0">
      <w:start w:val="7"/>
      <w:numFmt w:val="decimal"/>
      <w:lvlText w:val="%1"/>
      <w:lvlJc w:val="left"/>
      <w:pPr>
        <w:ind w:left="360" w:hanging="360"/>
      </w:pPr>
      <w:rPr>
        <w:rFonts w:hint="default"/>
      </w:rPr>
    </w:lvl>
    <w:lvl w:ilvl="1" w:tentative="0">
      <w:start w:val="2"/>
      <w:numFmt w:val="decimal"/>
      <w:isLgl/>
      <w:lvlText w:val="%1.%2"/>
      <w:lvlJc w:val="left"/>
      <w:pPr>
        <w:ind w:left="600" w:hanging="600"/>
      </w:pPr>
      <w:rPr>
        <w:rFonts w:hint="default"/>
      </w:rPr>
    </w:lvl>
    <w:lvl w:ilvl="2" w:tentative="0">
      <w:start w:val="2"/>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ZkMzRkNGIzZTI3NjY2ODY1OTljZGZkMzViNGQ1MjUifQ=="/>
    <w:docVar w:name="KSO_WPS_MARK_KEY" w:val="116abf56-af7a-4306-9f44-17dc381f51dd"/>
  </w:docVars>
  <w:rsids>
    <w:rsidRoot w:val="00172A27"/>
    <w:rsid w:val="000013D1"/>
    <w:rsid w:val="00004D82"/>
    <w:rsid w:val="00005909"/>
    <w:rsid w:val="0000764F"/>
    <w:rsid w:val="000079B3"/>
    <w:rsid w:val="00010EFF"/>
    <w:rsid w:val="00017220"/>
    <w:rsid w:val="0002330F"/>
    <w:rsid w:val="00026ACE"/>
    <w:rsid w:val="000270C3"/>
    <w:rsid w:val="00031A38"/>
    <w:rsid w:val="0003299F"/>
    <w:rsid w:val="00040C83"/>
    <w:rsid w:val="00051975"/>
    <w:rsid w:val="00055651"/>
    <w:rsid w:val="000566D8"/>
    <w:rsid w:val="000609A1"/>
    <w:rsid w:val="00061653"/>
    <w:rsid w:val="0006384E"/>
    <w:rsid w:val="00063FA3"/>
    <w:rsid w:val="000717E5"/>
    <w:rsid w:val="00071E52"/>
    <w:rsid w:val="0007606A"/>
    <w:rsid w:val="0007693F"/>
    <w:rsid w:val="000818C9"/>
    <w:rsid w:val="00084BC1"/>
    <w:rsid w:val="00084E29"/>
    <w:rsid w:val="00085F3F"/>
    <w:rsid w:val="0008669E"/>
    <w:rsid w:val="0009264E"/>
    <w:rsid w:val="00093C7D"/>
    <w:rsid w:val="000A33DD"/>
    <w:rsid w:val="000B039E"/>
    <w:rsid w:val="000B2794"/>
    <w:rsid w:val="000B2AC6"/>
    <w:rsid w:val="000B576A"/>
    <w:rsid w:val="000B578F"/>
    <w:rsid w:val="000B60E9"/>
    <w:rsid w:val="000C240F"/>
    <w:rsid w:val="000C5D4F"/>
    <w:rsid w:val="000C6BED"/>
    <w:rsid w:val="000D0051"/>
    <w:rsid w:val="000D1131"/>
    <w:rsid w:val="000D131A"/>
    <w:rsid w:val="000D3A76"/>
    <w:rsid w:val="000D3EF0"/>
    <w:rsid w:val="000E0ABD"/>
    <w:rsid w:val="000E57A9"/>
    <w:rsid w:val="000E73FD"/>
    <w:rsid w:val="000F0D61"/>
    <w:rsid w:val="000F46FC"/>
    <w:rsid w:val="000F59B5"/>
    <w:rsid w:val="0010467D"/>
    <w:rsid w:val="00105198"/>
    <w:rsid w:val="00106164"/>
    <w:rsid w:val="001072F8"/>
    <w:rsid w:val="0011416F"/>
    <w:rsid w:val="00116DCB"/>
    <w:rsid w:val="00117364"/>
    <w:rsid w:val="00117927"/>
    <w:rsid w:val="00120D98"/>
    <w:rsid w:val="00122E42"/>
    <w:rsid w:val="00123ADD"/>
    <w:rsid w:val="00133213"/>
    <w:rsid w:val="00133E1D"/>
    <w:rsid w:val="00136CF8"/>
    <w:rsid w:val="00141A5D"/>
    <w:rsid w:val="00142128"/>
    <w:rsid w:val="00142B15"/>
    <w:rsid w:val="00142E2B"/>
    <w:rsid w:val="00152788"/>
    <w:rsid w:val="0015305A"/>
    <w:rsid w:val="00157C55"/>
    <w:rsid w:val="00160267"/>
    <w:rsid w:val="00167A8B"/>
    <w:rsid w:val="00172A27"/>
    <w:rsid w:val="00172EE0"/>
    <w:rsid w:val="00173D86"/>
    <w:rsid w:val="00180216"/>
    <w:rsid w:val="00183FFA"/>
    <w:rsid w:val="00185B43"/>
    <w:rsid w:val="001925C5"/>
    <w:rsid w:val="00192C80"/>
    <w:rsid w:val="00197308"/>
    <w:rsid w:val="00197FC3"/>
    <w:rsid w:val="001A08DC"/>
    <w:rsid w:val="001B0FD8"/>
    <w:rsid w:val="001B32D5"/>
    <w:rsid w:val="001B646C"/>
    <w:rsid w:val="001B6E65"/>
    <w:rsid w:val="001C09B2"/>
    <w:rsid w:val="001C2DD1"/>
    <w:rsid w:val="001C3289"/>
    <w:rsid w:val="001C5F61"/>
    <w:rsid w:val="001D2891"/>
    <w:rsid w:val="001D2EE9"/>
    <w:rsid w:val="001D3946"/>
    <w:rsid w:val="001D4D63"/>
    <w:rsid w:val="001D5C04"/>
    <w:rsid w:val="001D69EE"/>
    <w:rsid w:val="001E0294"/>
    <w:rsid w:val="001E12C9"/>
    <w:rsid w:val="001E2177"/>
    <w:rsid w:val="001E73C9"/>
    <w:rsid w:val="001F28B9"/>
    <w:rsid w:val="001F4813"/>
    <w:rsid w:val="00201420"/>
    <w:rsid w:val="002025C7"/>
    <w:rsid w:val="0020679E"/>
    <w:rsid w:val="00206AEE"/>
    <w:rsid w:val="002162C3"/>
    <w:rsid w:val="00217A20"/>
    <w:rsid w:val="00235F4D"/>
    <w:rsid w:val="00243450"/>
    <w:rsid w:val="002661BB"/>
    <w:rsid w:val="00266ADF"/>
    <w:rsid w:val="00266D47"/>
    <w:rsid w:val="0027639A"/>
    <w:rsid w:val="00281B9D"/>
    <w:rsid w:val="00285593"/>
    <w:rsid w:val="00285B45"/>
    <w:rsid w:val="00292033"/>
    <w:rsid w:val="002A5585"/>
    <w:rsid w:val="002A5F01"/>
    <w:rsid w:val="002A6EB3"/>
    <w:rsid w:val="002B0350"/>
    <w:rsid w:val="002B0767"/>
    <w:rsid w:val="002B4EC6"/>
    <w:rsid w:val="002B5833"/>
    <w:rsid w:val="002C1CEF"/>
    <w:rsid w:val="002C1DCD"/>
    <w:rsid w:val="002C2B0D"/>
    <w:rsid w:val="002C36D9"/>
    <w:rsid w:val="002C4543"/>
    <w:rsid w:val="002C47DF"/>
    <w:rsid w:val="002C5BE2"/>
    <w:rsid w:val="002D025C"/>
    <w:rsid w:val="002D5E8F"/>
    <w:rsid w:val="002D73B9"/>
    <w:rsid w:val="002E0E87"/>
    <w:rsid w:val="002E457D"/>
    <w:rsid w:val="002E4FD8"/>
    <w:rsid w:val="002E5ECE"/>
    <w:rsid w:val="002E7A92"/>
    <w:rsid w:val="002F52D5"/>
    <w:rsid w:val="002F5529"/>
    <w:rsid w:val="003031D4"/>
    <w:rsid w:val="0031305B"/>
    <w:rsid w:val="0031406C"/>
    <w:rsid w:val="0031718D"/>
    <w:rsid w:val="003220A9"/>
    <w:rsid w:val="003236FF"/>
    <w:rsid w:val="00325402"/>
    <w:rsid w:val="0033104D"/>
    <w:rsid w:val="003410E8"/>
    <w:rsid w:val="00345689"/>
    <w:rsid w:val="00347593"/>
    <w:rsid w:val="0035432C"/>
    <w:rsid w:val="00354831"/>
    <w:rsid w:val="00355099"/>
    <w:rsid w:val="00357A7E"/>
    <w:rsid w:val="00357D46"/>
    <w:rsid w:val="003618FE"/>
    <w:rsid w:val="00365951"/>
    <w:rsid w:val="00372E5C"/>
    <w:rsid w:val="00380308"/>
    <w:rsid w:val="00381C1F"/>
    <w:rsid w:val="0038347F"/>
    <w:rsid w:val="003842AA"/>
    <w:rsid w:val="003933FE"/>
    <w:rsid w:val="00397385"/>
    <w:rsid w:val="003A68D1"/>
    <w:rsid w:val="003B0835"/>
    <w:rsid w:val="003B59FE"/>
    <w:rsid w:val="003D3CC9"/>
    <w:rsid w:val="003E0807"/>
    <w:rsid w:val="003E1C7E"/>
    <w:rsid w:val="003E4B9D"/>
    <w:rsid w:val="003E4CEC"/>
    <w:rsid w:val="003E5016"/>
    <w:rsid w:val="003E543F"/>
    <w:rsid w:val="003E5710"/>
    <w:rsid w:val="003F16C8"/>
    <w:rsid w:val="003F34CD"/>
    <w:rsid w:val="003F778D"/>
    <w:rsid w:val="00400ED9"/>
    <w:rsid w:val="0040143A"/>
    <w:rsid w:val="00406A08"/>
    <w:rsid w:val="00410531"/>
    <w:rsid w:val="004123D0"/>
    <w:rsid w:val="004124DA"/>
    <w:rsid w:val="00415F88"/>
    <w:rsid w:val="004207D7"/>
    <w:rsid w:val="004229F5"/>
    <w:rsid w:val="004232B1"/>
    <w:rsid w:val="00424ADB"/>
    <w:rsid w:val="00431F5C"/>
    <w:rsid w:val="00435F02"/>
    <w:rsid w:val="00441596"/>
    <w:rsid w:val="0044351A"/>
    <w:rsid w:val="00443FC9"/>
    <w:rsid w:val="00447892"/>
    <w:rsid w:val="00454664"/>
    <w:rsid w:val="004563D7"/>
    <w:rsid w:val="00465C5D"/>
    <w:rsid w:val="00467693"/>
    <w:rsid w:val="004678B1"/>
    <w:rsid w:val="00485624"/>
    <w:rsid w:val="004865A1"/>
    <w:rsid w:val="00492806"/>
    <w:rsid w:val="004931F7"/>
    <w:rsid w:val="004939D0"/>
    <w:rsid w:val="0049577C"/>
    <w:rsid w:val="004A029B"/>
    <w:rsid w:val="004A296F"/>
    <w:rsid w:val="004A6A22"/>
    <w:rsid w:val="004B0078"/>
    <w:rsid w:val="004B31BF"/>
    <w:rsid w:val="004B33FA"/>
    <w:rsid w:val="004C0DC6"/>
    <w:rsid w:val="004C144B"/>
    <w:rsid w:val="004C6C5F"/>
    <w:rsid w:val="004D30CA"/>
    <w:rsid w:val="004F28AE"/>
    <w:rsid w:val="005040CA"/>
    <w:rsid w:val="00506FA0"/>
    <w:rsid w:val="00513954"/>
    <w:rsid w:val="00515194"/>
    <w:rsid w:val="00516D42"/>
    <w:rsid w:val="00517E33"/>
    <w:rsid w:val="00524E61"/>
    <w:rsid w:val="00530264"/>
    <w:rsid w:val="00533F3C"/>
    <w:rsid w:val="005341DB"/>
    <w:rsid w:val="005366D8"/>
    <w:rsid w:val="0054258B"/>
    <w:rsid w:val="005425ED"/>
    <w:rsid w:val="00543672"/>
    <w:rsid w:val="00543710"/>
    <w:rsid w:val="00544401"/>
    <w:rsid w:val="00544A53"/>
    <w:rsid w:val="0054542E"/>
    <w:rsid w:val="005516A5"/>
    <w:rsid w:val="00552ED9"/>
    <w:rsid w:val="005614F7"/>
    <w:rsid w:val="00565E1D"/>
    <w:rsid w:val="0056616F"/>
    <w:rsid w:val="00575C6D"/>
    <w:rsid w:val="00576E10"/>
    <w:rsid w:val="00587386"/>
    <w:rsid w:val="00587EA5"/>
    <w:rsid w:val="00587F8D"/>
    <w:rsid w:val="0059778E"/>
    <w:rsid w:val="005A07C6"/>
    <w:rsid w:val="005A08E4"/>
    <w:rsid w:val="005A14EE"/>
    <w:rsid w:val="005A293B"/>
    <w:rsid w:val="005A5CAE"/>
    <w:rsid w:val="005B34F3"/>
    <w:rsid w:val="005B7642"/>
    <w:rsid w:val="005C2F92"/>
    <w:rsid w:val="005C3A47"/>
    <w:rsid w:val="005C3F62"/>
    <w:rsid w:val="005C4995"/>
    <w:rsid w:val="005C6502"/>
    <w:rsid w:val="005D3E22"/>
    <w:rsid w:val="005D6E78"/>
    <w:rsid w:val="005E087B"/>
    <w:rsid w:val="005E3275"/>
    <w:rsid w:val="005E6372"/>
    <w:rsid w:val="005E7879"/>
    <w:rsid w:val="005F1129"/>
    <w:rsid w:val="005F12CB"/>
    <w:rsid w:val="005F3C9F"/>
    <w:rsid w:val="005F746B"/>
    <w:rsid w:val="005F74F8"/>
    <w:rsid w:val="005F7F4C"/>
    <w:rsid w:val="006016EF"/>
    <w:rsid w:val="006017A6"/>
    <w:rsid w:val="00602039"/>
    <w:rsid w:val="006048C2"/>
    <w:rsid w:val="00604C5C"/>
    <w:rsid w:val="00610EE3"/>
    <w:rsid w:val="00611630"/>
    <w:rsid w:val="00612EAC"/>
    <w:rsid w:val="00616C4E"/>
    <w:rsid w:val="00621DDE"/>
    <w:rsid w:val="006244CD"/>
    <w:rsid w:val="006244F9"/>
    <w:rsid w:val="00625488"/>
    <w:rsid w:val="00625DF4"/>
    <w:rsid w:val="006273B9"/>
    <w:rsid w:val="00632D9E"/>
    <w:rsid w:val="00633F96"/>
    <w:rsid w:val="00635034"/>
    <w:rsid w:val="006355FE"/>
    <w:rsid w:val="00637198"/>
    <w:rsid w:val="0063737A"/>
    <w:rsid w:val="006408AF"/>
    <w:rsid w:val="00641630"/>
    <w:rsid w:val="00647A98"/>
    <w:rsid w:val="00651D04"/>
    <w:rsid w:val="006715A3"/>
    <w:rsid w:val="00671A0E"/>
    <w:rsid w:val="00673379"/>
    <w:rsid w:val="006767A1"/>
    <w:rsid w:val="00696297"/>
    <w:rsid w:val="006A3D2A"/>
    <w:rsid w:val="006A3ECA"/>
    <w:rsid w:val="006A5D70"/>
    <w:rsid w:val="006B0045"/>
    <w:rsid w:val="006B26B9"/>
    <w:rsid w:val="006B2D33"/>
    <w:rsid w:val="006C58FB"/>
    <w:rsid w:val="006D10F1"/>
    <w:rsid w:val="006D7728"/>
    <w:rsid w:val="006E30DA"/>
    <w:rsid w:val="006E4CF7"/>
    <w:rsid w:val="006E5D1F"/>
    <w:rsid w:val="006E71E7"/>
    <w:rsid w:val="00700420"/>
    <w:rsid w:val="00702BE0"/>
    <w:rsid w:val="00703412"/>
    <w:rsid w:val="00703AAC"/>
    <w:rsid w:val="007042BA"/>
    <w:rsid w:val="00710EB2"/>
    <w:rsid w:val="0071125D"/>
    <w:rsid w:val="00711BB9"/>
    <w:rsid w:val="00713C78"/>
    <w:rsid w:val="00717D24"/>
    <w:rsid w:val="007206A1"/>
    <w:rsid w:val="007220BF"/>
    <w:rsid w:val="007220D0"/>
    <w:rsid w:val="00724201"/>
    <w:rsid w:val="007358C5"/>
    <w:rsid w:val="007413D2"/>
    <w:rsid w:val="00744D62"/>
    <w:rsid w:val="00751890"/>
    <w:rsid w:val="00753B67"/>
    <w:rsid w:val="00753F1F"/>
    <w:rsid w:val="0075580C"/>
    <w:rsid w:val="00764132"/>
    <w:rsid w:val="007667B3"/>
    <w:rsid w:val="00766A97"/>
    <w:rsid w:val="0077387D"/>
    <w:rsid w:val="007744C3"/>
    <w:rsid w:val="00774836"/>
    <w:rsid w:val="00776892"/>
    <w:rsid w:val="00777844"/>
    <w:rsid w:val="00777AAA"/>
    <w:rsid w:val="007821A9"/>
    <w:rsid w:val="00782FF9"/>
    <w:rsid w:val="0078302C"/>
    <w:rsid w:val="0079239B"/>
    <w:rsid w:val="00795555"/>
    <w:rsid w:val="0079692C"/>
    <w:rsid w:val="007A3243"/>
    <w:rsid w:val="007A55F2"/>
    <w:rsid w:val="007A58E8"/>
    <w:rsid w:val="007A633C"/>
    <w:rsid w:val="007B5C0A"/>
    <w:rsid w:val="007C0FBD"/>
    <w:rsid w:val="007C1A10"/>
    <w:rsid w:val="007C286B"/>
    <w:rsid w:val="007C5AB1"/>
    <w:rsid w:val="007C5B0F"/>
    <w:rsid w:val="007C62F9"/>
    <w:rsid w:val="007D0495"/>
    <w:rsid w:val="007D0EA9"/>
    <w:rsid w:val="007D1614"/>
    <w:rsid w:val="007D2769"/>
    <w:rsid w:val="007D4620"/>
    <w:rsid w:val="007D4DD1"/>
    <w:rsid w:val="007D5F8A"/>
    <w:rsid w:val="007D6BE6"/>
    <w:rsid w:val="007E145D"/>
    <w:rsid w:val="007E2C2A"/>
    <w:rsid w:val="007E36E7"/>
    <w:rsid w:val="007E3DF6"/>
    <w:rsid w:val="007E4775"/>
    <w:rsid w:val="007E4D68"/>
    <w:rsid w:val="007E59D8"/>
    <w:rsid w:val="007F0CB1"/>
    <w:rsid w:val="007F1813"/>
    <w:rsid w:val="007F2962"/>
    <w:rsid w:val="007F4FCC"/>
    <w:rsid w:val="00800DBA"/>
    <w:rsid w:val="00801BB2"/>
    <w:rsid w:val="008024AB"/>
    <w:rsid w:val="008030EE"/>
    <w:rsid w:val="00803810"/>
    <w:rsid w:val="00805398"/>
    <w:rsid w:val="00806EA0"/>
    <w:rsid w:val="008109C1"/>
    <w:rsid w:val="00813AE2"/>
    <w:rsid w:val="00814AD4"/>
    <w:rsid w:val="008207D0"/>
    <w:rsid w:val="008252F6"/>
    <w:rsid w:val="008303AC"/>
    <w:rsid w:val="0083064C"/>
    <w:rsid w:val="008308A8"/>
    <w:rsid w:val="00831CAD"/>
    <w:rsid w:val="008329D8"/>
    <w:rsid w:val="00840BF9"/>
    <w:rsid w:val="008416E6"/>
    <w:rsid w:val="00845A16"/>
    <w:rsid w:val="00847C8D"/>
    <w:rsid w:val="008506A0"/>
    <w:rsid w:val="00851881"/>
    <w:rsid w:val="00852653"/>
    <w:rsid w:val="00857E0D"/>
    <w:rsid w:val="008602A4"/>
    <w:rsid w:val="00861CB8"/>
    <w:rsid w:val="00862778"/>
    <w:rsid w:val="00862EBC"/>
    <w:rsid w:val="008666E9"/>
    <w:rsid w:val="00866C23"/>
    <w:rsid w:val="008753A4"/>
    <w:rsid w:val="0087572A"/>
    <w:rsid w:val="00881A93"/>
    <w:rsid w:val="008869F9"/>
    <w:rsid w:val="008942F3"/>
    <w:rsid w:val="008A541E"/>
    <w:rsid w:val="008A62A1"/>
    <w:rsid w:val="008B1AC8"/>
    <w:rsid w:val="008B6ADD"/>
    <w:rsid w:val="008C2D84"/>
    <w:rsid w:val="008C4576"/>
    <w:rsid w:val="008D10AB"/>
    <w:rsid w:val="008D274F"/>
    <w:rsid w:val="008E2EE0"/>
    <w:rsid w:val="008E561D"/>
    <w:rsid w:val="008F067B"/>
    <w:rsid w:val="008F7028"/>
    <w:rsid w:val="009016B4"/>
    <w:rsid w:val="0090243E"/>
    <w:rsid w:val="009176BC"/>
    <w:rsid w:val="00924EEE"/>
    <w:rsid w:val="009268B1"/>
    <w:rsid w:val="00927031"/>
    <w:rsid w:val="00930CEE"/>
    <w:rsid w:val="00934AC5"/>
    <w:rsid w:val="00937666"/>
    <w:rsid w:val="00937A6E"/>
    <w:rsid w:val="00937CE4"/>
    <w:rsid w:val="009416B6"/>
    <w:rsid w:val="0094452B"/>
    <w:rsid w:val="009551EE"/>
    <w:rsid w:val="00955F93"/>
    <w:rsid w:val="0095615C"/>
    <w:rsid w:val="009600CA"/>
    <w:rsid w:val="00961885"/>
    <w:rsid w:val="0096313A"/>
    <w:rsid w:val="0096468A"/>
    <w:rsid w:val="00975308"/>
    <w:rsid w:val="00977B5B"/>
    <w:rsid w:val="009867C3"/>
    <w:rsid w:val="00986B9E"/>
    <w:rsid w:val="00992B55"/>
    <w:rsid w:val="009A330F"/>
    <w:rsid w:val="009A715F"/>
    <w:rsid w:val="009A7556"/>
    <w:rsid w:val="009B1731"/>
    <w:rsid w:val="009B2B92"/>
    <w:rsid w:val="009B4AAF"/>
    <w:rsid w:val="009C1E4E"/>
    <w:rsid w:val="009C2293"/>
    <w:rsid w:val="009C6DA7"/>
    <w:rsid w:val="009D08E6"/>
    <w:rsid w:val="009D4B46"/>
    <w:rsid w:val="009E11AC"/>
    <w:rsid w:val="009E3C5E"/>
    <w:rsid w:val="009E5DC6"/>
    <w:rsid w:val="009F3566"/>
    <w:rsid w:val="00A02E7E"/>
    <w:rsid w:val="00A056A3"/>
    <w:rsid w:val="00A10103"/>
    <w:rsid w:val="00A10195"/>
    <w:rsid w:val="00A12997"/>
    <w:rsid w:val="00A21158"/>
    <w:rsid w:val="00A2310D"/>
    <w:rsid w:val="00A2647F"/>
    <w:rsid w:val="00A2691F"/>
    <w:rsid w:val="00A2715C"/>
    <w:rsid w:val="00A27FB5"/>
    <w:rsid w:val="00A3192D"/>
    <w:rsid w:val="00A35935"/>
    <w:rsid w:val="00A41060"/>
    <w:rsid w:val="00A44107"/>
    <w:rsid w:val="00A46BC4"/>
    <w:rsid w:val="00A52049"/>
    <w:rsid w:val="00A549D8"/>
    <w:rsid w:val="00A54E87"/>
    <w:rsid w:val="00A56987"/>
    <w:rsid w:val="00A579A3"/>
    <w:rsid w:val="00A611AD"/>
    <w:rsid w:val="00A62D7B"/>
    <w:rsid w:val="00A6506B"/>
    <w:rsid w:val="00A677B8"/>
    <w:rsid w:val="00A72C08"/>
    <w:rsid w:val="00A77F3C"/>
    <w:rsid w:val="00A8260A"/>
    <w:rsid w:val="00A91F40"/>
    <w:rsid w:val="00A925B2"/>
    <w:rsid w:val="00A94419"/>
    <w:rsid w:val="00AA070E"/>
    <w:rsid w:val="00AA0B75"/>
    <w:rsid w:val="00AA31DC"/>
    <w:rsid w:val="00AA388C"/>
    <w:rsid w:val="00AA4F39"/>
    <w:rsid w:val="00AA76FF"/>
    <w:rsid w:val="00AB3394"/>
    <w:rsid w:val="00AB3FEA"/>
    <w:rsid w:val="00AB4766"/>
    <w:rsid w:val="00AB63DF"/>
    <w:rsid w:val="00AB781B"/>
    <w:rsid w:val="00AC15BB"/>
    <w:rsid w:val="00AC43C7"/>
    <w:rsid w:val="00AC5E3C"/>
    <w:rsid w:val="00AD07C2"/>
    <w:rsid w:val="00AD2AE0"/>
    <w:rsid w:val="00AD5787"/>
    <w:rsid w:val="00AD74A0"/>
    <w:rsid w:val="00AE230F"/>
    <w:rsid w:val="00AE365C"/>
    <w:rsid w:val="00AE41CA"/>
    <w:rsid w:val="00AE44EC"/>
    <w:rsid w:val="00AE6221"/>
    <w:rsid w:val="00AF1D18"/>
    <w:rsid w:val="00AF1D6C"/>
    <w:rsid w:val="00AF494E"/>
    <w:rsid w:val="00AF49B8"/>
    <w:rsid w:val="00AF78A9"/>
    <w:rsid w:val="00B02F14"/>
    <w:rsid w:val="00B04D65"/>
    <w:rsid w:val="00B068A7"/>
    <w:rsid w:val="00B069EA"/>
    <w:rsid w:val="00B074DF"/>
    <w:rsid w:val="00B10757"/>
    <w:rsid w:val="00B212E3"/>
    <w:rsid w:val="00B23E2B"/>
    <w:rsid w:val="00B31079"/>
    <w:rsid w:val="00B336CE"/>
    <w:rsid w:val="00B34B05"/>
    <w:rsid w:val="00B40A2B"/>
    <w:rsid w:val="00B415E5"/>
    <w:rsid w:val="00B438AC"/>
    <w:rsid w:val="00B43EC2"/>
    <w:rsid w:val="00B44178"/>
    <w:rsid w:val="00B507A5"/>
    <w:rsid w:val="00B51F1D"/>
    <w:rsid w:val="00B53891"/>
    <w:rsid w:val="00B5610F"/>
    <w:rsid w:val="00B6093B"/>
    <w:rsid w:val="00B758FF"/>
    <w:rsid w:val="00B779C1"/>
    <w:rsid w:val="00B81BD7"/>
    <w:rsid w:val="00B81FAF"/>
    <w:rsid w:val="00B8432B"/>
    <w:rsid w:val="00B85E08"/>
    <w:rsid w:val="00B91252"/>
    <w:rsid w:val="00B92D76"/>
    <w:rsid w:val="00B946F7"/>
    <w:rsid w:val="00BA0A77"/>
    <w:rsid w:val="00BA0D3A"/>
    <w:rsid w:val="00BA62C4"/>
    <w:rsid w:val="00BA6411"/>
    <w:rsid w:val="00BA6ABA"/>
    <w:rsid w:val="00BB3ADB"/>
    <w:rsid w:val="00BB3DDD"/>
    <w:rsid w:val="00BB4E8F"/>
    <w:rsid w:val="00BB6DF9"/>
    <w:rsid w:val="00BB783E"/>
    <w:rsid w:val="00BC3254"/>
    <w:rsid w:val="00BC627D"/>
    <w:rsid w:val="00BC62DF"/>
    <w:rsid w:val="00BD08A2"/>
    <w:rsid w:val="00BD0938"/>
    <w:rsid w:val="00BD7054"/>
    <w:rsid w:val="00BE049A"/>
    <w:rsid w:val="00BE3AA6"/>
    <w:rsid w:val="00BE4711"/>
    <w:rsid w:val="00BE5858"/>
    <w:rsid w:val="00BE75C4"/>
    <w:rsid w:val="00BF07AE"/>
    <w:rsid w:val="00BF3996"/>
    <w:rsid w:val="00BF3F3A"/>
    <w:rsid w:val="00BF4CAE"/>
    <w:rsid w:val="00BF631F"/>
    <w:rsid w:val="00BF768B"/>
    <w:rsid w:val="00C00D72"/>
    <w:rsid w:val="00C06FDA"/>
    <w:rsid w:val="00C0725E"/>
    <w:rsid w:val="00C11636"/>
    <w:rsid w:val="00C1545F"/>
    <w:rsid w:val="00C211EE"/>
    <w:rsid w:val="00C220BD"/>
    <w:rsid w:val="00C223C1"/>
    <w:rsid w:val="00C2315D"/>
    <w:rsid w:val="00C2343E"/>
    <w:rsid w:val="00C37835"/>
    <w:rsid w:val="00C417A4"/>
    <w:rsid w:val="00C43A15"/>
    <w:rsid w:val="00C505F7"/>
    <w:rsid w:val="00C54967"/>
    <w:rsid w:val="00C54CCB"/>
    <w:rsid w:val="00C56ADD"/>
    <w:rsid w:val="00C64606"/>
    <w:rsid w:val="00C65BAB"/>
    <w:rsid w:val="00C759C7"/>
    <w:rsid w:val="00C76327"/>
    <w:rsid w:val="00C86CDD"/>
    <w:rsid w:val="00C94A34"/>
    <w:rsid w:val="00CA6D93"/>
    <w:rsid w:val="00CA7286"/>
    <w:rsid w:val="00CA7BC7"/>
    <w:rsid w:val="00CB0327"/>
    <w:rsid w:val="00CB3BE6"/>
    <w:rsid w:val="00CB55A8"/>
    <w:rsid w:val="00CB6BBD"/>
    <w:rsid w:val="00CB6C73"/>
    <w:rsid w:val="00CB6D86"/>
    <w:rsid w:val="00CB6DB8"/>
    <w:rsid w:val="00CC0561"/>
    <w:rsid w:val="00CC1757"/>
    <w:rsid w:val="00CD68C6"/>
    <w:rsid w:val="00CD7B92"/>
    <w:rsid w:val="00CD7EFD"/>
    <w:rsid w:val="00CE3A59"/>
    <w:rsid w:val="00CE6F00"/>
    <w:rsid w:val="00CE79A3"/>
    <w:rsid w:val="00CF1A6B"/>
    <w:rsid w:val="00CF294E"/>
    <w:rsid w:val="00CF3162"/>
    <w:rsid w:val="00CF391E"/>
    <w:rsid w:val="00CF45AE"/>
    <w:rsid w:val="00D0064D"/>
    <w:rsid w:val="00D029DB"/>
    <w:rsid w:val="00D0352C"/>
    <w:rsid w:val="00D03848"/>
    <w:rsid w:val="00D03860"/>
    <w:rsid w:val="00D0627E"/>
    <w:rsid w:val="00D07552"/>
    <w:rsid w:val="00D07D04"/>
    <w:rsid w:val="00D11279"/>
    <w:rsid w:val="00D200BD"/>
    <w:rsid w:val="00D20D22"/>
    <w:rsid w:val="00D213A6"/>
    <w:rsid w:val="00D21E5C"/>
    <w:rsid w:val="00D25576"/>
    <w:rsid w:val="00D31F33"/>
    <w:rsid w:val="00D45A40"/>
    <w:rsid w:val="00D54A09"/>
    <w:rsid w:val="00D54B20"/>
    <w:rsid w:val="00D57AE6"/>
    <w:rsid w:val="00D612A6"/>
    <w:rsid w:val="00D76AE4"/>
    <w:rsid w:val="00D803A8"/>
    <w:rsid w:val="00D805AC"/>
    <w:rsid w:val="00D8172F"/>
    <w:rsid w:val="00D82A7A"/>
    <w:rsid w:val="00D83D6A"/>
    <w:rsid w:val="00D86148"/>
    <w:rsid w:val="00D86B6B"/>
    <w:rsid w:val="00D9018D"/>
    <w:rsid w:val="00D901FE"/>
    <w:rsid w:val="00D95BAA"/>
    <w:rsid w:val="00DA0DFF"/>
    <w:rsid w:val="00DA19BE"/>
    <w:rsid w:val="00DA224A"/>
    <w:rsid w:val="00DA43EA"/>
    <w:rsid w:val="00DB0976"/>
    <w:rsid w:val="00DB0DD3"/>
    <w:rsid w:val="00DB608F"/>
    <w:rsid w:val="00DB648E"/>
    <w:rsid w:val="00DB769B"/>
    <w:rsid w:val="00DC5E1D"/>
    <w:rsid w:val="00DC6649"/>
    <w:rsid w:val="00DD00B9"/>
    <w:rsid w:val="00DD0BE8"/>
    <w:rsid w:val="00DD2BC9"/>
    <w:rsid w:val="00DE2F7B"/>
    <w:rsid w:val="00DF11C6"/>
    <w:rsid w:val="00DF6E6F"/>
    <w:rsid w:val="00E0286F"/>
    <w:rsid w:val="00E04FE9"/>
    <w:rsid w:val="00E05888"/>
    <w:rsid w:val="00E12236"/>
    <w:rsid w:val="00E15B52"/>
    <w:rsid w:val="00E15C53"/>
    <w:rsid w:val="00E15CD5"/>
    <w:rsid w:val="00E24A11"/>
    <w:rsid w:val="00E25891"/>
    <w:rsid w:val="00E270E0"/>
    <w:rsid w:val="00E302EA"/>
    <w:rsid w:val="00E3124D"/>
    <w:rsid w:val="00E34176"/>
    <w:rsid w:val="00E343A4"/>
    <w:rsid w:val="00E35FEF"/>
    <w:rsid w:val="00E400E1"/>
    <w:rsid w:val="00E4275F"/>
    <w:rsid w:val="00E43C83"/>
    <w:rsid w:val="00E50F88"/>
    <w:rsid w:val="00E61F08"/>
    <w:rsid w:val="00E64F80"/>
    <w:rsid w:val="00E668F9"/>
    <w:rsid w:val="00E67132"/>
    <w:rsid w:val="00E71CAD"/>
    <w:rsid w:val="00E75282"/>
    <w:rsid w:val="00E75855"/>
    <w:rsid w:val="00E76D0B"/>
    <w:rsid w:val="00E80685"/>
    <w:rsid w:val="00E812D7"/>
    <w:rsid w:val="00E91E8B"/>
    <w:rsid w:val="00E9759F"/>
    <w:rsid w:val="00EA0909"/>
    <w:rsid w:val="00EA1403"/>
    <w:rsid w:val="00EA27BD"/>
    <w:rsid w:val="00EB3584"/>
    <w:rsid w:val="00EC0058"/>
    <w:rsid w:val="00EC0367"/>
    <w:rsid w:val="00EC486A"/>
    <w:rsid w:val="00ED1EA8"/>
    <w:rsid w:val="00ED2C79"/>
    <w:rsid w:val="00ED6C9C"/>
    <w:rsid w:val="00ED79ED"/>
    <w:rsid w:val="00EE0524"/>
    <w:rsid w:val="00EE0D78"/>
    <w:rsid w:val="00EE1B2E"/>
    <w:rsid w:val="00EE2365"/>
    <w:rsid w:val="00EE42A1"/>
    <w:rsid w:val="00EF3CAF"/>
    <w:rsid w:val="00EF3DED"/>
    <w:rsid w:val="00EF4E29"/>
    <w:rsid w:val="00EF5091"/>
    <w:rsid w:val="00F03B5C"/>
    <w:rsid w:val="00F05913"/>
    <w:rsid w:val="00F1143C"/>
    <w:rsid w:val="00F13A5A"/>
    <w:rsid w:val="00F17626"/>
    <w:rsid w:val="00F201DA"/>
    <w:rsid w:val="00F221A4"/>
    <w:rsid w:val="00F2405C"/>
    <w:rsid w:val="00F31DAE"/>
    <w:rsid w:val="00F424DC"/>
    <w:rsid w:val="00F4524C"/>
    <w:rsid w:val="00F502DD"/>
    <w:rsid w:val="00F5030C"/>
    <w:rsid w:val="00F53210"/>
    <w:rsid w:val="00F5393B"/>
    <w:rsid w:val="00F63108"/>
    <w:rsid w:val="00F67EB7"/>
    <w:rsid w:val="00F8052B"/>
    <w:rsid w:val="00F82594"/>
    <w:rsid w:val="00F84AFD"/>
    <w:rsid w:val="00F877B1"/>
    <w:rsid w:val="00F9079D"/>
    <w:rsid w:val="00F9102A"/>
    <w:rsid w:val="00F94A97"/>
    <w:rsid w:val="00F95FDC"/>
    <w:rsid w:val="00FA43D6"/>
    <w:rsid w:val="00FA6177"/>
    <w:rsid w:val="00FB037D"/>
    <w:rsid w:val="00FB1806"/>
    <w:rsid w:val="00FB276A"/>
    <w:rsid w:val="00FB6A1A"/>
    <w:rsid w:val="00FC5487"/>
    <w:rsid w:val="00FC7A03"/>
    <w:rsid w:val="00FD02CC"/>
    <w:rsid w:val="00FD5A4E"/>
    <w:rsid w:val="00FD6A41"/>
    <w:rsid w:val="00FE1171"/>
    <w:rsid w:val="00FE2A2D"/>
    <w:rsid w:val="00FE58BB"/>
    <w:rsid w:val="00FE7737"/>
    <w:rsid w:val="00FF202F"/>
    <w:rsid w:val="00FF3163"/>
    <w:rsid w:val="00FF35C8"/>
    <w:rsid w:val="00FF3CF7"/>
    <w:rsid w:val="00FF68CD"/>
    <w:rsid w:val="00FF6C0D"/>
    <w:rsid w:val="00FF6FF7"/>
    <w:rsid w:val="01180EA8"/>
    <w:rsid w:val="0153177E"/>
    <w:rsid w:val="015431D8"/>
    <w:rsid w:val="01592D9C"/>
    <w:rsid w:val="016A75BB"/>
    <w:rsid w:val="0187729B"/>
    <w:rsid w:val="01C87910"/>
    <w:rsid w:val="01C97AA2"/>
    <w:rsid w:val="01CF7EB4"/>
    <w:rsid w:val="01D120DA"/>
    <w:rsid w:val="02265D73"/>
    <w:rsid w:val="022A50D4"/>
    <w:rsid w:val="024B0C48"/>
    <w:rsid w:val="029C6644"/>
    <w:rsid w:val="02A92F5A"/>
    <w:rsid w:val="02D06BF4"/>
    <w:rsid w:val="02DA2319"/>
    <w:rsid w:val="02E90D97"/>
    <w:rsid w:val="03404321"/>
    <w:rsid w:val="034254DD"/>
    <w:rsid w:val="03456290"/>
    <w:rsid w:val="038509D2"/>
    <w:rsid w:val="03A54079"/>
    <w:rsid w:val="04151A02"/>
    <w:rsid w:val="043333A9"/>
    <w:rsid w:val="04F215AE"/>
    <w:rsid w:val="05211BD6"/>
    <w:rsid w:val="0531701F"/>
    <w:rsid w:val="05917C35"/>
    <w:rsid w:val="05962EBB"/>
    <w:rsid w:val="05AA6CAA"/>
    <w:rsid w:val="06356174"/>
    <w:rsid w:val="064245FD"/>
    <w:rsid w:val="066A3D9A"/>
    <w:rsid w:val="066A5219"/>
    <w:rsid w:val="06C501A8"/>
    <w:rsid w:val="06ED5DE5"/>
    <w:rsid w:val="06FB1642"/>
    <w:rsid w:val="073E7A60"/>
    <w:rsid w:val="076855AA"/>
    <w:rsid w:val="078F23F3"/>
    <w:rsid w:val="0799482C"/>
    <w:rsid w:val="07B84D65"/>
    <w:rsid w:val="07C6673D"/>
    <w:rsid w:val="07E514B6"/>
    <w:rsid w:val="07ED0962"/>
    <w:rsid w:val="07F23BD4"/>
    <w:rsid w:val="07F71E1B"/>
    <w:rsid w:val="07F97DE3"/>
    <w:rsid w:val="085F0D9D"/>
    <w:rsid w:val="088502CB"/>
    <w:rsid w:val="088C3D80"/>
    <w:rsid w:val="08C8220C"/>
    <w:rsid w:val="08D835BC"/>
    <w:rsid w:val="091949D7"/>
    <w:rsid w:val="09277CEE"/>
    <w:rsid w:val="09375414"/>
    <w:rsid w:val="093B01C2"/>
    <w:rsid w:val="09E84E47"/>
    <w:rsid w:val="0A2D36C0"/>
    <w:rsid w:val="0A3F0B20"/>
    <w:rsid w:val="0A8070D4"/>
    <w:rsid w:val="0AE82921"/>
    <w:rsid w:val="0AEC3308"/>
    <w:rsid w:val="0AFB68C4"/>
    <w:rsid w:val="0AFF4A25"/>
    <w:rsid w:val="0B120DDF"/>
    <w:rsid w:val="0B9D759F"/>
    <w:rsid w:val="0BB0771C"/>
    <w:rsid w:val="0BBE6D8D"/>
    <w:rsid w:val="0BC14AF3"/>
    <w:rsid w:val="0C160C51"/>
    <w:rsid w:val="0C34242E"/>
    <w:rsid w:val="0C5225E3"/>
    <w:rsid w:val="0C9A3E17"/>
    <w:rsid w:val="0CC46DE8"/>
    <w:rsid w:val="0D154390"/>
    <w:rsid w:val="0D343066"/>
    <w:rsid w:val="0D470454"/>
    <w:rsid w:val="0DBB1FE0"/>
    <w:rsid w:val="0DC9445D"/>
    <w:rsid w:val="0DD40530"/>
    <w:rsid w:val="0E2A4C4C"/>
    <w:rsid w:val="0E4436FA"/>
    <w:rsid w:val="0E550D2A"/>
    <w:rsid w:val="0E646C2D"/>
    <w:rsid w:val="0E6D434B"/>
    <w:rsid w:val="0E77333D"/>
    <w:rsid w:val="0EA2610E"/>
    <w:rsid w:val="0EAE02E7"/>
    <w:rsid w:val="0EB556DF"/>
    <w:rsid w:val="0F0F6DA3"/>
    <w:rsid w:val="0F2B0FC4"/>
    <w:rsid w:val="0F566F1C"/>
    <w:rsid w:val="0F5965E2"/>
    <w:rsid w:val="0F7B581B"/>
    <w:rsid w:val="0F874471"/>
    <w:rsid w:val="0F933053"/>
    <w:rsid w:val="10521F88"/>
    <w:rsid w:val="105264E1"/>
    <w:rsid w:val="10712B91"/>
    <w:rsid w:val="10A31DD0"/>
    <w:rsid w:val="10A41306"/>
    <w:rsid w:val="10B078D3"/>
    <w:rsid w:val="10C036B9"/>
    <w:rsid w:val="10F57079"/>
    <w:rsid w:val="11134CA9"/>
    <w:rsid w:val="114E123C"/>
    <w:rsid w:val="1162107E"/>
    <w:rsid w:val="118849A3"/>
    <w:rsid w:val="11ED53EC"/>
    <w:rsid w:val="12795F27"/>
    <w:rsid w:val="127F414F"/>
    <w:rsid w:val="1285735D"/>
    <w:rsid w:val="12D1193A"/>
    <w:rsid w:val="13400448"/>
    <w:rsid w:val="134B3BF3"/>
    <w:rsid w:val="13B63846"/>
    <w:rsid w:val="13C805C8"/>
    <w:rsid w:val="13D420E0"/>
    <w:rsid w:val="13F81D81"/>
    <w:rsid w:val="143F6C9B"/>
    <w:rsid w:val="14450B1E"/>
    <w:rsid w:val="14C94E01"/>
    <w:rsid w:val="14F86687"/>
    <w:rsid w:val="151D6F5E"/>
    <w:rsid w:val="152F3C19"/>
    <w:rsid w:val="15571996"/>
    <w:rsid w:val="156514A3"/>
    <w:rsid w:val="156E2739"/>
    <w:rsid w:val="156F5E56"/>
    <w:rsid w:val="159B4DCE"/>
    <w:rsid w:val="15CD3E4B"/>
    <w:rsid w:val="162F75B8"/>
    <w:rsid w:val="16327B94"/>
    <w:rsid w:val="164212E4"/>
    <w:rsid w:val="164C2A46"/>
    <w:rsid w:val="164C7A56"/>
    <w:rsid w:val="1660096D"/>
    <w:rsid w:val="16677FA7"/>
    <w:rsid w:val="1674027E"/>
    <w:rsid w:val="16B61F2A"/>
    <w:rsid w:val="16DB36DF"/>
    <w:rsid w:val="16E47EE5"/>
    <w:rsid w:val="16ED4ABC"/>
    <w:rsid w:val="17585A93"/>
    <w:rsid w:val="175B13B5"/>
    <w:rsid w:val="177436CA"/>
    <w:rsid w:val="179E3424"/>
    <w:rsid w:val="17A35875"/>
    <w:rsid w:val="17F975FB"/>
    <w:rsid w:val="181173D0"/>
    <w:rsid w:val="1887179E"/>
    <w:rsid w:val="18A309CA"/>
    <w:rsid w:val="18FD118F"/>
    <w:rsid w:val="190577DF"/>
    <w:rsid w:val="1908343B"/>
    <w:rsid w:val="190C4F90"/>
    <w:rsid w:val="190D2FC4"/>
    <w:rsid w:val="191D32DE"/>
    <w:rsid w:val="19523CA6"/>
    <w:rsid w:val="197E55F5"/>
    <w:rsid w:val="198E0EBF"/>
    <w:rsid w:val="1A351739"/>
    <w:rsid w:val="1A4F75EC"/>
    <w:rsid w:val="1A502E7B"/>
    <w:rsid w:val="1A536E33"/>
    <w:rsid w:val="1A6F10DD"/>
    <w:rsid w:val="1A8C73F3"/>
    <w:rsid w:val="1AB66404"/>
    <w:rsid w:val="1AB67D74"/>
    <w:rsid w:val="1AD863E6"/>
    <w:rsid w:val="1AF00A1E"/>
    <w:rsid w:val="1B084C42"/>
    <w:rsid w:val="1B0F20A8"/>
    <w:rsid w:val="1B1937F0"/>
    <w:rsid w:val="1B2727E6"/>
    <w:rsid w:val="1B5D72A9"/>
    <w:rsid w:val="1B622598"/>
    <w:rsid w:val="1B8C7341"/>
    <w:rsid w:val="1B9032C7"/>
    <w:rsid w:val="1BB920D8"/>
    <w:rsid w:val="1C20737B"/>
    <w:rsid w:val="1C2F4429"/>
    <w:rsid w:val="1C4A454C"/>
    <w:rsid w:val="1CAE6344"/>
    <w:rsid w:val="1CD85CAF"/>
    <w:rsid w:val="1D055C04"/>
    <w:rsid w:val="1D0A1B07"/>
    <w:rsid w:val="1D0E7B9A"/>
    <w:rsid w:val="1D1B0053"/>
    <w:rsid w:val="1D3D47FA"/>
    <w:rsid w:val="1D446753"/>
    <w:rsid w:val="1D593A1A"/>
    <w:rsid w:val="1D8434B4"/>
    <w:rsid w:val="1DB37DCE"/>
    <w:rsid w:val="1DDD3ACD"/>
    <w:rsid w:val="1E4156B6"/>
    <w:rsid w:val="1E4D776E"/>
    <w:rsid w:val="1E5A068A"/>
    <w:rsid w:val="1E9209E5"/>
    <w:rsid w:val="1ED72302"/>
    <w:rsid w:val="1F164DEB"/>
    <w:rsid w:val="1F767AFA"/>
    <w:rsid w:val="1F7A47FB"/>
    <w:rsid w:val="1FD16767"/>
    <w:rsid w:val="1FDF265A"/>
    <w:rsid w:val="1FF35BE4"/>
    <w:rsid w:val="20165EEA"/>
    <w:rsid w:val="20510375"/>
    <w:rsid w:val="20A701E7"/>
    <w:rsid w:val="20B22068"/>
    <w:rsid w:val="20CC3A7D"/>
    <w:rsid w:val="20CE73F9"/>
    <w:rsid w:val="20E05A32"/>
    <w:rsid w:val="21075C5C"/>
    <w:rsid w:val="21134F01"/>
    <w:rsid w:val="21217942"/>
    <w:rsid w:val="213D1D7F"/>
    <w:rsid w:val="21467CC1"/>
    <w:rsid w:val="216E2D36"/>
    <w:rsid w:val="217C7A45"/>
    <w:rsid w:val="218A187E"/>
    <w:rsid w:val="21E77038"/>
    <w:rsid w:val="2249400A"/>
    <w:rsid w:val="228E7669"/>
    <w:rsid w:val="22A255F2"/>
    <w:rsid w:val="22CF1572"/>
    <w:rsid w:val="22CF506E"/>
    <w:rsid w:val="22D1754B"/>
    <w:rsid w:val="22EB153B"/>
    <w:rsid w:val="23334E90"/>
    <w:rsid w:val="235413D1"/>
    <w:rsid w:val="23582B57"/>
    <w:rsid w:val="23626857"/>
    <w:rsid w:val="238C0D71"/>
    <w:rsid w:val="239B1963"/>
    <w:rsid w:val="23FE1A8C"/>
    <w:rsid w:val="240178E6"/>
    <w:rsid w:val="242A7A60"/>
    <w:rsid w:val="243C4C7B"/>
    <w:rsid w:val="24527E18"/>
    <w:rsid w:val="2473603C"/>
    <w:rsid w:val="24A747B8"/>
    <w:rsid w:val="24E21F17"/>
    <w:rsid w:val="250545C2"/>
    <w:rsid w:val="25442204"/>
    <w:rsid w:val="255175A5"/>
    <w:rsid w:val="258643B9"/>
    <w:rsid w:val="25E072EE"/>
    <w:rsid w:val="263B0924"/>
    <w:rsid w:val="26686774"/>
    <w:rsid w:val="26855095"/>
    <w:rsid w:val="2691700E"/>
    <w:rsid w:val="269B7B17"/>
    <w:rsid w:val="26A95133"/>
    <w:rsid w:val="26B84E40"/>
    <w:rsid w:val="26E46902"/>
    <w:rsid w:val="27033511"/>
    <w:rsid w:val="2708175F"/>
    <w:rsid w:val="276C074A"/>
    <w:rsid w:val="27E43BCB"/>
    <w:rsid w:val="27EC315E"/>
    <w:rsid w:val="28047339"/>
    <w:rsid w:val="28482A59"/>
    <w:rsid w:val="286C12C9"/>
    <w:rsid w:val="286D64EF"/>
    <w:rsid w:val="287014F6"/>
    <w:rsid w:val="28A91F2B"/>
    <w:rsid w:val="28B0377B"/>
    <w:rsid w:val="28D60C02"/>
    <w:rsid w:val="29032D04"/>
    <w:rsid w:val="296709C7"/>
    <w:rsid w:val="29780F4B"/>
    <w:rsid w:val="298E7271"/>
    <w:rsid w:val="29B07D9B"/>
    <w:rsid w:val="29C039B9"/>
    <w:rsid w:val="29D458B9"/>
    <w:rsid w:val="29E4371A"/>
    <w:rsid w:val="2A1A5FBD"/>
    <w:rsid w:val="2A324EC4"/>
    <w:rsid w:val="2A817229"/>
    <w:rsid w:val="2AD969D3"/>
    <w:rsid w:val="2B0D7FCC"/>
    <w:rsid w:val="2B441C7C"/>
    <w:rsid w:val="2B4E3843"/>
    <w:rsid w:val="2BBC700F"/>
    <w:rsid w:val="2BE23208"/>
    <w:rsid w:val="2BFF09B0"/>
    <w:rsid w:val="2C1A3BA3"/>
    <w:rsid w:val="2C364D8D"/>
    <w:rsid w:val="2C3A4159"/>
    <w:rsid w:val="2C63613C"/>
    <w:rsid w:val="2C724DF3"/>
    <w:rsid w:val="2CB40976"/>
    <w:rsid w:val="2D1C7FF0"/>
    <w:rsid w:val="2D320B84"/>
    <w:rsid w:val="2D3D22E1"/>
    <w:rsid w:val="2D3F0F3B"/>
    <w:rsid w:val="2D4D0BE6"/>
    <w:rsid w:val="2D901A1C"/>
    <w:rsid w:val="2D9A1CFF"/>
    <w:rsid w:val="2DC7536D"/>
    <w:rsid w:val="2DEE6A8E"/>
    <w:rsid w:val="2DEF45F9"/>
    <w:rsid w:val="2E573403"/>
    <w:rsid w:val="2E6005A8"/>
    <w:rsid w:val="2E9D7790"/>
    <w:rsid w:val="2ED424E1"/>
    <w:rsid w:val="2ED66E54"/>
    <w:rsid w:val="2F997ED4"/>
    <w:rsid w:val="2FA5250C"/>
    <w:rsid w:val="2FB81127"/>
    <w:rsid w:val="2FD517C8"/>
    <w:rsid w:val="2FD90032"/>
    <w:rsid w:val="2FFE7798"/>
    <w:rsid w:val="30000CED"/>
    <w:rsid w:val="30152F93"/>
    <w:rsid w:val="30245132"/>
    <w:rsid w:val="30477527"/>
    <w:rsid w:val="309F65B9"/>
    <w:rsid w:val="30CC4E4A"/>
    <w:rsid w:val="31446D97"/>
    <w:rsid w:val="316132FA"/>
    <w:rsid w:val="316C5ED3"/>
    <w:rsid w:val="31EE2BD5"/>
    <w:rsid w:val="3256087D"/>
    <w:rsid w:val="325B65BA"/>
    <w:rsid w:val="3292480B"/>
    <w:rsid w:val="33134422"/>
    <w:rsid w:val="334D1BAE"/>
    <w:rsid w:val="33996954"/>
    <w:rsid w:val="33A92328"/>
    <w:rsid w:val="33D65ECC"/>
    <w:rsid w:val="33EC649E"/>
    <w:rsid w:val="33F05942"/>
    <w:rsid w:val="340232E0"/>
    <w:rsid w:val="34485B8D"/>
    <w:rsid w:val="34595824"/>
    <w:rsid w:val="347E4184"/>
    <w:rsid w:val="34863EE9"/>
    <w:rsid w:val="34A52EE5"/>
    <w:rsid w:val="34B146C5"/>
    <w:rsid w:val="34BE6E6E"/>
    <w:rsid w:val="34C26557"/>
    <w:rsid w:val="34D30830"/>
    <w:rsid w:val="34D86900"/>
    <w:rsid w:val="34EE786A"/>
    <w:rsid w:val="350F5FE5"/>
    <w:rsid w:val="351654A5"/>
    <w:rsid w:val="354E15DF"/>
    <w:rsid w:val="354E2771"/>
    <w:rsid w:val="35891FEA"/>
    <w:rsid w:val="35A34EBC"/>
    <w:rsid w:val="35D513DC"/>
    <w:rsid w:val="360E7FCD"/>
    <w:rsid w:val="360F0662"/>
    <w:rsid w:val="365157A8"/>
    <w:rsid w:val="366A7DF5"/>
    <w:rsid w:val="36777EBE"/>
    <w:rsid w:val="368A3A7C"/>
    <w:rsid w:val="368F5C6F"/>
    <w:rsid w:val="36F66D66"/>
    <w:rsid w:val="370F72D9"/>
    <w:rsid w:val="371B53AC"/>
    <w:rsid w:val="37311A5B"/>
    <w:rsid w:val="38005ABB"/>
    <w:rsid w:val="38492792"/>
    <w:rsid w:val="388C2CFD"/>
    <w:rsid w:val="38C61F93"/>
    <w:rsid w:val="38E847D7"/>
    <w:rsid w:val="3904005C"/>
    <w:rsid w:val="39311B87"/>
    <w:rsid w:val="394810E8"/>
    <w:rsid w:val="39A61EC3"/>
    <w:rsid w:val="39E977DE"/>
    <w:rsid w:val="39EA5A15"/>
    <w:rsid w:val="39EA7AE8"/>
    <w:rsid w:val="39EE088B"/>
    <w:rsid w:val="3A1A0376"/>
    <w:rsid w:val="3A5941F5"/>
    <w:rsid w:val="3A680535"/>
    <w:rsid w:val="3A7760DB"/>
    <w:rsid w:val="3B0F447F"/>
    <w:rsid w:val="3B107A6F"/>
    <w:rsid w:val="3B1B08ED"/>
    <w:rsid w:val="3B23548F"/>
    <w:rsid w:val="3BB34E7F"/>
    <w:rsid w:val="3BF05E2E"/>
    <w:rsid w:val="3C01029A"/>
    <w:rsid w:val="3C02392C"/>
    <w:rsid w:val="3C17350B"/>
    <w:rsid w:val="3C25218A"/>
    <w:rsid w:val="3C521018"/>
    <w:rsid w:val="3C7B2E6F"/>
    <w:rsid w:val="3C897551"/>
    <w:rsid w:val="3CDB0A1A"/>
    <w:rsid w:val="3CDD5F39"/>
    <w:rsid w:val="3CF950D5"/>
    <w:rsid w:val="3D037708"/>
    <w:rsid w:val="3D0D6277"/>
    <w:rsid w:val="3D2B640C"/>
    <w:rsid w:val="3D793D8D"/>
    <w:rsid w:val="3D8079B1"/>
    <w:rsid w:val="3D812D70"/>
    <w:rsid w:val="3DEB2B85"/>
    <w:rsid w:val="3E0435DD"/>
    <w:rsid w:val="3E1A466E"/>
    <w:rsid w:val="3E1C7DA7"/>
    <w:rsid w:val="3E354ECE"/>
    <w:rsid w:val="3E463963"/>
    <w:rsid w:val="3E5C4DED"/>
    <w:rsid w:val="3E7F10A4"/>
    <w:rsid w:val="3E8F74DA"/>
    <w:rsid w:val="3EE673DB"/>
    <w:rsid w:val="3F284391"/>
    <w:rsid w:val="3F2B5012"/>
    <w:rsid w:val="3F7B7D79"/>
    <w:rsid w:val="3F996C34"/>
    <w:rsid w:val="3FC76ED3"/>
    <w:rsid w:val="3FD716B2"/>
    <w:rsid w:val="3FFA30F5"/>
    <w:rsid w:val="40007123"/>
    <w:rsid w:val="40021B3B"/>
    <w:rsid w:val="40473B4B"/>
    <w:rsid w:val="40711EB8"/>
    <w:rsid w:val="40715FDF"/>
    <w:rsid w:val="40805F52"/>
    <w:rsid w:val="40D65224"/>
    <w:rsid w:val="40DC76DD"/>
    <w:rsid w:val="40FC2AFC"/>
    <w:rsid w:val="414A33C1"/>
    <w:rsid w:val="420323DA"/>
    <w:rsid w:val="4217238B"/>
    <w:rsid w:val="42356E37"/>
    <w:rsid w:val="424D3B2C"/>
    <w:rsid w:val="426F7AC7"/>
    <w:rsid w:val="429F314A"/>
    <w:rsid w:val="42AB1589"/>
    <w:rsid w:val="431F69FC"/>
    <w:rsid w:val="433E2A23"/>
    <w:rsid w:val="4386034C"/>
    <w:rsid w:val="439B4B04"/>
    <w:rsid w:val="43D35339"/>
    <w:rsid w:val="43E15FE5"/>
    <w:rsid w:val="43E9111A"/>
    <w:rsid w:val="44223290"/>
    <w:rsid w:val="44316D1D"/>
    <w:rsid w:val="44B570FB"/>
    <w:rsid w:val="44C91BED"/>
    <w:rsid w:val="44FF35F6"/>
    <w:rsid w:val="45565529"/>
    <w:rsid w:val="45703C17"/>
    <w:rsid w:val="459754BA"/>
    <w:rsid w:val="460E39E1"/>
    <w:rsid w:val="4631501E"/>
    <w:rsid w:val="46592C88"/>
    <w:rsid w:val="465E4B16"/>
    <w:rsid w:val="46A10F19"/>
    <w:rsid w:val="46A514DB"/>
    <w:rsid w:val="46AC6981"/>
    <w:rsid w:val="46EC4F8E"/>
    <w:rsid w:val="46F844AD"/>
    <w:rsid w:val="471E2B1F"/>
    <w:rsid w:val="47376C28"/>
    <w:rsid w:val="473D5FE3"/>
    <w:rsid w:val="47700398"/>
    <w:rsid w:val="47711D1B"/>
    <w:rsid w:val="47766EFA"/>
    <w:rsid w:val="482A0EA6"/>
    <w:rsid w:val="485A4F1B"/>
    <w:rsid w:val="48AE4F3B"/>
    <w:rsid w:val="48C41305"/>
    <w:rsid w:val="48E50D23"/>
    <w:rsid w:val="48EB4B99"/>
    <w:rsid w:val="49287BC3"/>
    <w:rsid w:val="493F1FB1"/>
    <w:rsid w:val="49B4297B"/>
    <w:rsid w:val="49D22EBB"/>
    <w:rsid w:val="49F2325E"/>
    <w:rsid w:val="4A0C0273"/>
    <w:rsid w:val="4A2C72D8"/>
    <w:rsid w:val="4A2D7166"/>
    <w:rsid w:val="4A8D5CAB"/>
    <w:rsid w:val="4A996B02"/>
    <w:rsid w:val="4AAE4326"/>
    <w:rsid w:val="4B087A64"/>
    <w:rsid w:val="4B356480"/>
    <w:rsid w:val="4B9C2B9C"/>
    <w:rsid w:val="4BCC7BDF"/>
    <w:rsid w:val="4BDE6EE5"/>
    <w:rsid w:val="4BF31AEA"/>
    <w:rsid w:val="4C133D69"/>
    <w:rsid w:val="4C22171A"/>
    <w:rsid w:val="4C337D43"/>
    <w:rsid w:val="4C6F2808"/>
    <w:rsid w:val="4CBB726B"/>
    <w:rsid w:val="4CE65574"/>
    <w:rsid w:val="4D3756DE"/>
    <w:rsid w:val="4D585546"/>
    <w:rsid w:val="4D9A7433"/>
    <w:rsid w:val="4DB92781"/>
    <w:rsid w:val="4DBB3D45"/>
    <w:rsid w:val="4DC50D0D"/>
    <w:rsid w:val="4DDF4EC6"/>
    <w:rsid w:val="4DF02C2E"/>
    <w:rsid w:val="4DF256EB"/>
    <w:rsid w:val="4E1A292D"/>
    <w:rsid w:val="4E3D1876"/>
    <w:rsid w:val="4E8A68A3"/>
    <w:rsid w:val="4E8E3729"/>
    <w:rsid w:val="4F05185B"/>
    <w:rsid w:val="4F0B204D"/>
    <w:rsid w:val="4F476CF4"/>
    <w:rsid w:val="4F6374B2"/>
    <w:rsid w:val="4F7A67CC"/>
    <w:rsid w:val="4F985456"/>
    <w:rsid w:val="4FA431E8"/>
    <w:rsid w:val="4FBA6A9F"/>
    <w:rsid w:val="4FE9103E"/>
    <w:rsid w:val="4FF61D5A"/>
    <w:rsid w:val="50052797"/>
    <w:rsid w:val="501A09D7"/>
    <w:rsid w:val="50764D1E"/>
    <w:rsid w:val="508C042B"/>
    <w:rsid w:val="50915DAD"/>
    <w:rsid w:val="509742C6"/>
    <w:rsid w:val="50EA2082"/>
    <w:rsid w:val="51037BB7"/>
    <w:rsid w:val="51264ABB"/>
    <w:rsid w:val="514A70CD"/>
    <w:rsid w:val="51B64A79"/>
    <w:rsid w:val="51BF7EC8"/>
    <w:rsid w:val="51C10215"/>
    <w:rsid w:val="51C3092C"/>
    <w:rsid w:val="51DA63B9"/>
    <w:rsid w:val="521A1FCA"/>
    <w:rsid w:val="526E7A0D"/>
    <w:rsid w:val="52D20916"/>
    <w:rsid w:val="52ED067E"/>
    <w:rsid w:val="531D2D6C"/>
    <w:rsid w:val="532B5CCD"/>
    <w:rsid w:val="53623A53"/>
    <w:rsid w:val="53903AAB"/>
    <w:rsid w:val="53CD391A"/>
    <w:rsid w:val="54386749"/>
    <w:rsid w:val="544968CF"/>
    <w:rsid w:val="54A32EBC"/>
    <w:rsid w:val="54F850E3"/>
    <w:rsid w:val="551578E6"/>
    <w:rsid w:val="55490EA4"/>
    <w:rsid w:val="55661A5C"/>
    <w:rsid w:val="55692860"/>
    <w:rsid w:val="558B5C62"/>
    <w:rsid w:val="5597357E"/>
    <w:rsid w:val="55D02EBC"/>
    <w:rsid w:val="5618487F"/>
    <w:rsid w:val="563535A6"/>
    <w:rsid w:val="563C6B9C"/>
    <w:rsid w:val="5644159D"/>
    <w:rsid w:val="565B3463"/>
    <w:rsid w:val="56750286"/>
    <w:rsid w:val="568E794C"/>
    <w:rsid w:val="56AB3614"/>
    <w:rsid w:val="56C80CEC"/>
    <w:rsid w:val="56DE0C51"/>
    <w:rsid w:val="56E71B69"/>
    <w:rsid w:val="57033568"/>
    <w:rsid w:val="571B72E0"/>
    <w:rsid w:val="578E19B7"/>
    <w:rsid w:val="578E31E2"/>
    <w:rsid w:val="57934920"/>
    <w:rsid w:val="57A704DA"/>
    <w:rsid w:val="57B8121A"/>
    <w:rsid w:val="57BB6D26"/>
    <w:rsid w:val="57C27201"/>
    <w:rsid w:val="57D111D5"/>
    <w:rsid w:val="57D20969"/>
    <w:rsid w:val="58025DA7"/>
    <w:rsid w:val="58173946"/>
    <w:rsid w:val="585471AB"/>
    <w:rsid w:val="585C5819"/>
    <w:rsid w:val="58645277"/>
    <w:rsid w:val="58F66779"/>
    <w:rsid w:val="5940742D"/>
    <w:rsid w:val="5984742D"/>
    <w:rsid w:val="598B07B1"/>
    <w:rsid w:val="599E4354"/>
    <w:rsid w:val="59CB1B80"/>
    <w:rsid w:val="5A2307EA"/>
    <w:rsid w:val="5A573868"/>
    <w:rsid w:val="5A6C7FC2"/>
    <w:rsid w:val="5AA22C6F"/>
    <w:rsid w:val="5B4F3D07"/>
    <w:rsid w:val="5B537877"/>
    <w:rsid w:val="5B677413"/>
    <w:rsid w:val="5B990022"/>
    <w:rsid w:val="5BBA73D6"/>
    <w:rsid w:val="5BF57E15"/>
    <w:rsid w:val="5C2E5195"/>
    <w:rsid w:val="5C3B6B17"/>
    <w:rsid w:val="5C8A7D7F"/>
    <w:rsid w:val="5C9A1521"/>
    <w:rsid w:val="5CE03E43"/>
    <w:rsid w:val="5CF03A7A"/>
    <w:rsid w:val="5D10383C"/>
    <w:rsid w:val="5D296B21"/>
    <w:rsid w:val="5D34726B"/>
    <w:rsid w:val="5D3A4435"/>
    <w:rsid w:val="5D7F3CA2"/>
    <w:rsid w:val="5DBF0D2C"/>
    <w:rsid w:val="5DE844F8"/>
    <w:rsid w:val="5DF05FB7"/>
    <w:rsid w:val="5E1645ED"/>
    <w:rsid w:val="5E2D5F56"/>
    <w:rsid w:val="5E6D5F2C"/>
    <w:rsid w:val="5EBE53E1"/>
    <w:rsid w:val="5EC66DC6"/>
    <w:rsid w:val="5EE8605A"/>
    <w:rsid w:val="5F2D381D"/>
    <w:rsid w:val="5F4653E5"/>
    <w:rsid w:val="5F673FB1"/>
    <w:rsid w:val="5F7E3EA9"/>
    <w:rsid w:val="6007605D"/>
    <w:rsid w:val="60165763"/>
    <w:rsid w:val="60712077"/>
    <w:rsid w:val="609837B0"/>
    <w:rsid w:val="60B22982"/>
    <w:rsid w:val="60F90AA0"/>
    <w:rsid w:val="611439F1"/>
    <w:rsid w:val="61330FD5"/>
    <w:rsid w:val="614930BC"/>
    <w:rsid w:val="618C0215"/>
    <w:rsid w:val="61926F12"/>
    <w:rsid w:val="61A56E96"/>
    <w:rsid w:val="61A97F33"/>
    <w:rsid w:val="621E255F"/>
    <w:rsid w:val="62697054"/>
    <w:rsid w:val="6276598E"/>
    <w:rsid w:val="6285153F"/>
    <w:rsid w:val="628D6238"/>
    <w:rsid w:val="629D333B"/>
    <w:rsid w:val="62AB1221"/>
    <w:rsid w:val="62B20092"/>
    <w:rsid w:val="62C17590"/>
    <w:rsid w:val="62C80A6C"/>
    <w:rsid w:val="62CC4586"/>
    <w:rsid w:val="62DA193B"/>
    <w:rsid w:val="62DA4B30"/>
    <w:rsid w:val="62FF05FA"/>
    <w:rsid w:val="63576E32"/>
    <w:rsid w:val="636576E2"/>
    <w:rsid w:val="6382622B"/>
    <w:rsid w:val="638612C9"/>
    <w:rsid w:val="6394656B"/>
    <w:rsid w:val="63CB158D"/>
    <w:rsid w:val="640D6D9B"/>
    <w:rsid w:val="64195646"/>
    <w:rsid w:val="64324710"/>
    <w:rsid w:val="64B35D4D"/>
    <w:rsid w:val="64C80BEE"/>
    <w:rsid w:val="64FA14F9"/>
    <w:rsid w:val="65096095"/>
    <w:rsid w:val="65104B6C"/>
    <w:rsid w:val="651D49D2"/>
    <w:rsid w:val="6533388E"/>
    <w:rsid w:val="657217B6"/>
    <w:rsid w:val="6588279E"/>
    <w:rsid w:val="65A939E7"/>
    <w:rsid w:val="65AE0112"/>
    <w:rsid w:val="65B14984"/>
    <w:rsid w:val="65C32A70"/>
    <w:rsid w:val="6637260C"/>
    <w:rsid w:val="66447DFC"/>
    <w:rsid w:val="669235AC"/>
    <w:rsid w:val="66DF190B"/>
    <w:rsid w:val="66FC3809"/>
    <w:rsid w:val="67151E24"/>
    <w:rsid w:val="672E1686"/>
    <w:rsid w:val="675B74F9"/>
    <w:rsid w:val="67964A8C"/>
    <w:rsid w:val="67B27524"/>
    <w:rsid w:val="67E426CD"/>
    <w:rsid w:val="682C52A1"/>
    <w:rsid w:val="68370E13"/>
    <w:rsid w:val="68461AE5"/>
    <w:rsid w:val="685860D3"/>
    <w:rsid w:val="68842AC0"/>
    <w:rsid w:val="68973D43"/>
    <w:rsid w:val="689C6198"/>
    <w:rsid w:val="68D579D8"/>
    <w:rsid w:val="68F95CBF"/>
    <w:rsid w:val="690E34A0"/>
    <w:rsid w:val="696C46D7"/>
    <w:rsid w:val="698020DD"/>
    <w:rsid w:val="699F21D7"/>
    <w:rsid w:val="69C452C6"/>
    <w:rsid w:val="69CC1F6C"/>
    <w:rsid w:val="69CC6C47"/>
    <w:rsid w:val="69E84235"/>
    <w:rsid w:val="69F43576"/>
    <w:rsid w:val="6A10561D"/>
    <w:rsid w:val="6A127394"/>
    <w:rsid w:val="6A4819E2"/>
    <w:rsid w:val="6A5008AE"/>
    <w:rsid w:val="6A520DAB"/>
    <w:rsid w:val="6A630B75"/>
    <w:rsid w:val="6A68014F"/>
    <w:rsid w:val="6A6C6118"/>
    <w:rsid w:val="6AB6515A"/>
    <w:rsid w:val="6AC224E3"/>
    <w:rsid w:val="6AD664B2"/>
    <w:rsid w:val="6ADA1235"/>
    <w:rsid w:val="6B1D4A21"/>
    <w:rsid w:val="6B3D54FB"/>
    <w:rsid w:val="6B3E618C"/>
    <w:rsid w:val="6B9656E9"/>
    <w:rsid w:val="6BE37597"/>
    <w:rsid w:val="6BEE68EA"/>
    <w:rsid w:val="6C052388"/>
    <w:rsid w:val="6C2328CF"/>
    <w:rsid w:val="6CA92454"/>
    <w:rsid w:val="6CBF59F3"/>
    <w:rsid w:val="6CCE756F"/>
    <w:rsid w:val="6CF638E3"/>
    <w:rsid w:val="6CFC4B09"/>
    <w:rsid w:val="6D000BE4"/>
    <w:rsid w:val="6D3F4FB5"/>
    <w:rsid w:val="6D7812DB"/>
    <w:rsid w:val="6DC532AB"/>
    <w:rsid w:val="6DCB0E6B"/>
    <w:rsid w:val="6DCF30A0"/>
    <w:rsid w:val="6DCF3D0A"/>
    <w:rsid w:val="6DD52D72"/>
    <w:rsid w:val="6DE5323B"/>
    <w:rsid w:val="6E9A099C"/>
    <w:rsid w:val="6E9E57CE"/>
    <w:rsid w:val="6EC6436C"/>
    <w:rsid w:val="6ECA7B5E"/>
    <w:rsid w:val="6EF5775B"/>
    <w:rsid w:val="6F0002C7"/>
    <w:rsid w:val="6F0046D6"/>
    <w:rsid w:val="6F2E47A0"/>
    <w:rsid w:val="6F322079"/>
    <w:rsid w:val="6F4D29CB"/>
    <w:rsid w:val="6F4E48CB"/>
    <w:rsid w:val="6F611269"/>
    <w:rsid w:val="6F8D1259"/>
    <w:rsid w:val="6FA0385D"/>
    <w:rsid w:val="6FB470AF"/>
    <w:rsid w:val="6FBF3781"/>
    <w:rsid w:val="6FC33E7B"/>
    <w:rsid w:val="7049540E"/>
    <w:rsid w:val="70661533"/>
    <w:rsid w:val="7071458B"/>
    <w:rsid w:val="70C44E9E"/>
    <w:rsid w:val="70D45506"/>
    <w:rsid w:val="71161CE6"/>
    <w:rsid w:val="71185B27"/>
    <w:rsid w:val="716C2B67"/>
    <w:rsid w:val="71C73922"/>
    <w:rsid w:val="71DA3454"/>
    <w:rsid w:val="72152428"/>
    <w:rsid w:val="721D5176"/>
    <w:rsid w:val="723A42E4"/>
    <w:rsid w:val="7241536C"/>
    <w:rsid w:val="725A2D85"/>
    <w:rsid w:val="726A7FB8"/>
    <w:rsid w:val="72813A5C"/>
    <w:rsid w:val="72CE7148"/>
    <w:rsid w:val="731B6594"/>
    <w:rsid w:val="73417669"/>
    <w:rsid w:val="735E7AC1"/>
    <w:rsid w:val="73792E46"/>
    <w:rsid w:val="73806AB9"/>
    <w:rsid w:val="739A5B86"/>
    <w:rsid w:val="73AD2A6E"/>
    <w:rsid w:val="73C86AFA"/>
    <w:rsid w:val="73F30157"/>
    <w:rsid w:val="73FE4A94"/>
    <w:rsid w:val="74161104"/>
    <w:rsid w:val="741C3E0E"/>
    <w:rsid w:val="744901BF"/>
    <w:rsid w:val="74802E6F"/>
    <w:rsid w:val="7486680C"/>
    <w:rsid w:val="75350964"/>
    <w:rsid w:val="754C02ED"/>
    <w:rsid w:val="754D7D4D"/>
    <w:rsid w:val="75514BF9"/>
    <w:rsid w:val="755F4319"/>
    <w:rsid w:val="7581413D"/>
    <w:rsid w:val="75821E7B"/>
    <w:rsid w:val="759D6EC3"/>
    <w:rsid w:val="7677237E"/>
    <w:rsid w:val="767B6CD8"/>
    <w:rsid w:val="768030F0"/>
    <w:rsid w:val="76E65A6A"/>
    <w:rsid w:val="76E913A2"/>
    <w:rsid w:val="770B5646"/>
    <w:rsid w:val="7737657F"/>
    <w:rsid w:val="776169AF"/>
    <w:rsid w:val="77894983"/>
    <w:rsid w:val="77AF1F63"/>
    <w:rsid w:val="77CE434F"/>
    <w:rsid w:val="77DC7908"/>
    <w:rsid w:val="77EF1412"/>
    <w:rsid w:val="781F15DD"/>
    <w:rsid w:val="783C7E10"/>
    <w:rsid w:val="78451E96"/>
    <w:rsid w:val="78784D1F"/>
    <w:rsid w:val="78CD4E24"/>
    <w:rsid w:val="79190FAC"/>
    <w:rsid w:val="793A5578"/>
    <w:rsid w:val="79471B73"/>
    <w:rsid w:val="79592854"/>
    <w:rsid w:val="796C30C2"/>
    <w:rsid w:val="79745C18"/>
    <w:rsid w:val="7980795F"/>
    <w:rsid w:val="7985499D"/>
    <w:rsid w:val="798650C1"/>
    <w:rsid w:val="799F718E"/>
    <w:rsid w:val="79A154E2"/>
    <w:rsid w:val="79AF71BD"/>
    <w:rsid w:val="79B05C6F"/>
    <w:rsid w:val="79C4233C"/>
    <w:rsid w:val="79C8598C"/>
    <w:rsid w:val="79DA4214"/>
    <w:rsid w:val="79DB49EE"/>
    <w:rsid w:val="79F72FA3"/>
    <w:rsid w:val="7A236814"/>
    <w:rsid w:val="7A510614"/>
    <w:rsid w:val="7A626C7D"/>
    <w:rsid w:val="7A9942DA"/>
    <w:rsid w:val="7AC30038"/>
    <w:rsid w:val="7AFB4146"/>
    <w:rsid w:val="7B0674E0"/>
    <w:rsid w:val="7B11123A"/>
    <w:rsid w:val="7B3705B0"/>
    <w:rsid w:val="7B51005B"/>
    <w:rsid w:val="7BA10032"/>
    <w:rsid w:val="7BBC588B"/>
    <w:rsid w:val="7BC4531E"/>
    <w:rsid w:val="7C3A053E"/>
    <w:rsid w:val="7C3A1B18"/>
    <w:rsid w:val="7C4313EA"/>
    <w:rsid w:val="7C6E1E61"/>
    <w:rsid w:val="7C8100A0"/>
    <w:rsid w:val="7CA044EB"/>
    <w:rsid w:val="7CAA74D6"/>
    <w:rsid w:val="7CC26D97"/>
    <w:rsid w:val="7CCA5FAE"/>
    <w:rsid w:val="7CDD4F4E"/>
    <w:rsid w:val="7D196F81"/>
    <w:rsid w:val="7D2C403B"/>
    <w:rsid w:val="7D530A7A"/>
    <w:rsid w:val="7D580E3B"/>
    <w:rsid w:val="7D601BC5"/>
    <w:rsid w:val="7D706ED2"/>
    <w:rsid w:val="7D9676BA"/>
    <w:rsid w:val="7D982A0E"/>
    <w:rsid w:val="7DD32638"/>
    <w:rsid w:val="7DDA691F"/>
    <w:rsid w:val="7DE76EC6"/>
    <w:rsid w:val="7DEF4AE0"/>
    <w:rsid w:val="7E18665B"/>
    <w:rsid w:val="7E2C6E4F"/>
    <w:rsid w:val="7E7025A9"/>
    <w:rsid w:val="7EC71ED8"/>
    <w:rsid w:val="7EE7039C"/>
    <w:rsid w:val="7F087612"/>
    <w:rsid w:val="7F5011C9"/>
    <w:rsid w:val="7F58130E"/>
    <w:rsid w:val="7FB81C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unhideWhenUsed/>
    <w:qFormat/>
    <w:uiPriority w:val="9"/>
    <w:pPr>
      <w:spacing w:beforeAutospacing="1" w:afterAutospacing="1"/>
      <w:jc w:val="left"/>
      <w:outlineLvl w:val="2"/>
    </w:pPr>
    <w:rPr>
      <w:rFonts w:hint="eastAsia" w:ascii="宋体" w:hAnsi="宋体"/>
      <w:b/>
      <w:kern w:val="0"/>
      <w:sz w:val="27"/>
      <w:szCs w:val="27"/>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rPr>
  </w:style>
  <w:style w:type="character" w:default="1" w:styleId="22">
    <w:name w:val="Default Paragraph Font"/>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3"/>
    <w:unhideWhenUsed/>
    <w:qFormat/>
    <w:uiPriority w:val="99"/>
    <w:pPr>
      <w:jc w:val="left"/>
    </w:pPr>
  </w:style>
  <w:style w:type="paragraph" w:styleId="9">
    <w:name w:val="Body Text"/>
    <w:basedOn w:val="1"/>
    <w:link w:val="43"/>
    <w:semiHidden/>
    <w:unhideWhenUsed/>
    <w:qFormat/>
    <w:uiPriority w:val="99"/>
    <w:pPr>
      <w:spacing w:after="120"/>
    </w:pPr>
  </w:style>
  <w:style w:type="paragraph" w:styleId="10">
    <w:name w:val="Body Text Indent"/>
    <w:basedOn w:val="1"/>
    <w:qFormat/>
    <w:uiPriority w:val="0"/>
    <w:pPr>
      <w:ind w:firstLine="449" w:firstLineChars="187"/>
    </w:pPr>
    <w:rPr>
      <w:sz w:val="24"/>
    </w:rPr>
  </w:style>
  <w:style w:type="paragraph" w:styleId="11">
    <w:name w:val="Plain Text"/>
    <w:basedOn w:val="1"/>
    <w:qFormat/>
    <w:uiPriority w:val="0"/>
    <w:rPr>
      <w:rFonts w:hint="eastAsia" w:ascii="宋体" w:hAnsi="Courier New"/>
      <w:szCs w:val="20"/>
    </w:rPr>
  </w:style>
  <w:style w:type="paragraph" w:styleId="12">
    <w:name w:val="Date"/>
    <w:basedOn w:val="1"/>
    <w:next w:val="1"/>
    <w:qFormat/>
    <w:uiPriority w:val="0"/>
    <w:pPr>
      <w:ind w:left="100" w:leftChars="2500"/>
    </w:pPr>
  </w:style>
  <w:style w:type="paragraph" w:styleId="13">
    <w:name w:val="Balloon Text"/>
    <w:basedOn w:val="1"/>
    <w:qFormat/>
    <w:uiPriority w:val="0"/>
    <w:rPr>
      <w:sz w:val="18"/>
      <w:szCs w:val="18"/>
    </w:rPr>
  </w:style>
  <w:style w:type="paragraph" w:styleId="14">
    <w:name w:val="footer"/>
    <w:basedOn w:val="1"/>
    <w:link w:val="45"/>
    <w:qFormat/>
    <w:uiPriority w:val="99"/>
    <w:pPr>
      <w:tabs>
        <w:tab w:val="center" w:pos="4153"/>
        <w:tab w:val="right" w:pos="8306"/>
      </w:tabs>
      <w:snapToGrid w:val="0"/>
      <w:jc w:val="left"/>
    </w:pPr>
    <w:rPr>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tabs>
        <w:tab w:val="right" w:leader="dot" w:pos="8630"/>
      </w:tabs>
      <w:spacing w:line="360" w:lineRule="auto"/>
    </w:pPr>
  </w:style>
  <w:style w:type="paragraph" w:styleId="17">
    <w:name w:val="toc 2"/>
    <w:basedOn w:val="1"/>
    <w:next w:val="1"/>
    <w:qFormat/>
    <w:uiPriority w:val="39"/>
    <w:pPr>
      <w:tabs>
        <w:tab w:val="right" w:leader="dot" w:pos="8630"/>
      </w:tabs>
      <w:spacing w:line="360" w:lineRule="auto"/>
    </w:pPr>
  </w:style>
  <w:style w:type="paragraph" w:styleId="1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9">
    <w:name w:val="annotation subject"/>
    <w:basedOn w:val="8"/>
    <w:next w:val="8"/>
    <w:link w:val="34"/>
    <w:semiHidden/>
    <w:unhideWhenUsed/>
    <w:qFormat/>
    <w:uiPriority w:val="99"/>
    <w:rPr>
      <w:b/>
      <w:bCs/>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0"/>
    <w:rPr>
      <w:b/>
    </w:rPr>
  </w:style>
  <w:style w:type="character" w:styleId="24">
    <w:name w:val="page number"/>
    <w:basedOn w:val="22"/>
    <w:qFormat/>
    <w:uiPriority w:val="0"/>
  </w:style>
  <w:style w:type="character" w:styleId="25">
    <w:name w:val="Hyperlink"/>
    <w:basedOn w:val="22"/>
    <w:qFormat/>
    <w:uiPriority w:val="99"/>
    <w:rPr>
      <w:color w:val="0000FF"/>
      <w:u w:val="single"/>
    </w:rPr>
  </w:style>
  <w:style w:type="character" w:styleId="26">
    <w:name w:val="annotation reference"/>
    <w:basedOn w:val="22"/>
    <w:semiHidden/>
    <w:unhideWhenUsed/>
    <w:qFormat/>
    <w:uiPriority w:val="99"/>
    <w:rPr>
      <w:sz w:val="21"/>
      <w:szCs w:val="21"/>
    </w:rPr>
  </w:style>
  <w:style w:type="character" w:customStyle="1" w:styleId="27">
    <w:name w:val="标题 2 Char"/>
    <w:basedOn w:val="22"/>
    <w:link w:val="3"/>
    <w:qFormat/>
    <w:uiPriority w:val="0"/>
    <w:rPr>
      <w:rFonts w:ascii="Arial" w:hAnsi="Arial" w:eastAsia="黑体"/>
      <w:b/>
      <w:bCs/>
      <w:kern w:val="2"/>
      <w:sz w:val="32"/>
      <w:szCs w:val="32"/>
      <w:lang w:val="en-US" w:eastAsia="zh-CN" w:bidi="ar-SA"/>
    </w:rPr>
  </w:style>
  <w:style w:type="paragraph" w:customStyle="1" w:styleId="28">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9">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30">
    <w:name w:val="Char Char Char Char Char Char Char Char Char Char Char Char Char Char Char Char"/>
    <w:basedOn w:val="1"/>
    <w:qFormat/>
    <w:uiPriority w:val="0"/>
    <w:pPr>
      <w:tabs>
        <w:tab w:val="left" w:pos="360"/>
      </w:tabs>
    </w:pPr>
    <w:rPr>
      <w:sz w:val="24"/>
    </w:rPr>
  </w:style>
  <w:style w:type="character" w:styleId="31">
    <w:name w:val="Placeholder Text"/>
    <w:basedOn w:val="22"/>
    <w:semiHidden/>
    <w:qFormat/>
    <w:uiPriority w:val="99"/>
    <w:rPr>
      <w:color w:val="808080"/>
    </w:rPr>
  </w:style>
  <w:style w:type="character" w:customStyle="1" w:styleId="32">
    <w:name w:val="标题 1 Char"/>
    <w:basedOn w:val="22"/>
    <w:link w:val="2"/>
    <w:qFormat/>
    <w:uiPriority w:val="0"/>
    <w:rPr>
      <w:b/>
      <w:bCs/>
      <w:kern w:val="44"/>
      <w:sz w:val="44"/>
      <w:szCs w:val="44"/>
    </w:rPr>
  </w:style>
  <w:style w:type="character" w:customStyle="1" w:styleId="33">
    <w:name w:val="批注文字 Char"/>
    <w:basedOn w:val="22"/>
    <w:link w:val="8"/>
    <w:qFormat/>
    <w:uiPriority w:val="99"/>
    <w:rPr>
      <w:kern w:val="2"/>
      <w:sz w:val="21"/>
      <w:szCs w:val="24"/>
    </w:rPr>
  </w:style>
  <w:style w:type="character" w:customStyle="1" w:styleId="34">
    <w:name w:val="批注主题 Char"/>
    <w:basedOn w:val="33"/>
    <w:link w:val="19"/>
    <w:semiHidden/>
    <w:qFormat/>
    <w:uiPriority w:val="99"/>
    <w:rPr>
      <w:b/>
      <w:bCs/>
      <w:kern w:val="2"/>
      <w:sz w:val="21"/>
      <w:szCs w:val="24"/>
    </w:rPr>
  </w:style>
  <w:style w:type="paragraph" w:customStyle="1" w:styleId="3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6">
    <w:name w:val="high-light-bg"/>
    <w:basedOn w:val="22"/>
    <w:qFormat/>
    <w:uiPriority w:val="0"/>
  </w:style>
  <w:style w:type="character" w:customStyle="1" w:styleId="37">
    <w:name w:val="MTEquationSection"/>
    <w:basedOn w:val="22"/>
    <w:qFormat/>
    <w:uiPriority w:val="0"/>
    <w:rPr>
      <w:rFonts w:ascii="宋体" w:hAnsi="宋体" w:cs="宋体"/>
      <w:b/>
      <w:vanish/>
      <w:color w:val="FF0000"/>
      <w:sz w:val="52"/>
      <w:szCs w:val="52"/>
      <w:lang w:val="zh-CN"/>
    </w:rPr>
  </w:style>
  <w:style w:type="paragraph" w:styleId="38">
    <w:name w:val="List Paragraph"/>
    <w:basedOn w:val="1"/>
    <w:qFormat/>
    <w:uiPriority w:val="34"/>
    <w:pPr>
      <w:ind w:firstLine="420" w:firstLineChars="200"/>
    </w:pPr>
  </w:style>
  <w:style w:type="paragraph" w:customStyle="1" w:styleId="39">
    <w:name w:val="MTDisplayEquation"/>
    <w:basedOn w:val="1"/>
    <w:next w:val="1"/>
    <w:link w:val="40"/>
    <w:qFormat/>
    <w:uiPriority w:val="0"/>
    <w:pPr>
      <w:tabs>
        <w:tab w:val="center" w:pos="4320"/>
        <w:tab w:val="right" w:pos="8640"/>
      </w:tabs>
      <w:spacing w:line="336" w:lineRule="auto"/>
    </w:pPr>
    <w:rPr>
      <w:rFonts w:ascii="宋体" w:hAnsi="宋体" w:cs="宋体"/>
      <w:sz w:val="24"/>
    </w:rPr>
  </w:style>
  <w:style w:type="character" w:customStyle="1" w:styleId="40">
    <w:name w:val="MTDisplayEquation Char"/>
    <w:basedOn w:val="22"/>
    <w:link w:val="39"/>
    <w:qFormat/>
    <w:uiPriority w:val="0"/>
    <w:rPr>
      <w:rFonts w:ascii="宋体" w:hAnsi="宋体" w:cs="宋体"/>
      <w:kern w:val="2"/>
      <w:sz w:val="24"/>
      <w:szCs w:val="24"/>
    </w:rPr>
  </w:style>
  <w:style w:type="character" w:customStyle="1" w:styleId="41">
    <w:name w:val="三号宋体"/>
    <w:qFormat/>
    <w:uiPriority w:val="0"/>
    <w:rPr>
      <w:rFonts w:ascii="Times New Roman" w:hAnsi="Times New Roman" w:eastAsia="宋体"/>
      <w:sz w:val="32"/>
    </w:rPr>
  </w:style>
  <w:style w:type="paragraph" w:customStyle="1" w:styleId="42">
    <w:name w:val="标准文件_附录标识"/>
    <w:next w:val="13"/>
    <w:qFormat/>
    <w:uiPriority w:val="0"/>
    <w:p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character" w:customStyle="1" w:styleId="43">
    <w:name w:val="正文文本 Char"/>
    <w:basedOn w:val="22"/>
    <w:link w:val="9"/>
    <w:semiHidden/>
    <w:qFormat/>
    <w:uiPriority w:val="99"/>
    <w:rPr>
      <w:kern w:val="2"/>
      <w:sz w:val="21"/>
      <w:szCs w:val="24"/>
    </w:rPr>
  </w:style>
  <w:style w:type="character" w:customStyle="1" w:styleId="44">
    <w:name w:val="MTDisplayEquation 字符"/>
    <w:qFormat/>
    <w:uiPriority w:val="0"/>
    <w:rPr>
      <w:rFonts w:ascii="宋体" w:hAnsi="宋体"/>
      <w:kern w:val="2"/>
      <w:sz w:val="24"/>
      <w:szCs w:val="24"/>
    </w:rPr>
  </w:style>
  <w:style w:type="character" w:customStyle="1" w:styleId="45">
    <w:name w:val="页脚 Char"/>
    <w:basedOn w:val="22"/>
    <w:link w:val="14"/>
    <w:qFormat/>
    <w:uiPriority w:val="99"/>
    <w:rPr>
      <w:kern w:val="2"/>
      <w:sz w:val="18"/>
      <w:szCs w:val="18"/>
    </w:rPr>
  </w:style>
  <w:style w:type="character" w:customStyle="1" w:styleId="46">
    <w:name w:val="页眉 Char"/>
    <w:link w:val="15"/>
    <w:qFormat/>
    <w:uiPriority w:val="99"/>
    <w:rPr>
      <w:kern w:val="2"/>
      <w:sz w:val="18"/>
      <w:szCs w:val="18"/>
    </w:rPr>
  </w:style>
  <w:style w:type="paragraph" w:customStyle="1" w:styleId="47">
    <w:name w:val="标准文件_附录一级条标题"/>
    <w:basedOn w:val="1"/>
    <w:next w:val="1"/>
    <w:qFormat/>
    <w:uiPriority w:val="0"/>
    <w:pPr>
      <w:widowControl/>
      <w:wordWrap w:val="0"/>
      <w:overflowPunct w:val="0"/>
      <w:autoSpaceDE w:val="0"/>
      <w:autoSpaceDN w:val="0"/>
      <w:ind w:right="-50" w:rightChars="-50"/>
      <w:textAlignment w:val="baseline"/>
      <w:outlineLvl w:val="2"/>
    </w:pPr>
    <w:rPr>
      <w:rFonts w:ascii="黑体" w:eastAsia="黑体"/>
      <w:spacing w:val="2"/>
      <w:kern w:val="21"/>
      <w:szCs w:val="20"/>
    </w:rPr>
  </w:style>
  <w:style w:type="paragraph" w:customStyle="1" w:styleId="48">
    <w:name w:val="标准文件_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9">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50">
    <w:name w:val="标题 4 Char"/>
    <w:basedOn w:val="22"/>
    <w:link w:val="5"/>
    <w:qFormat/>
    <w:uiPriority w:val="9"/>
    <w:rPr>
      <w:rFonts w:asciiTheme="majorHAnsi" w:hAnsiTheme="majorHAnsi" w:eastAsiaTheme="majorEastAsia" w:cstheme="majorBidi"/>
      <w:b/>
      <w:bCs/>
      <w:kern w:val="2"/>
      <w:sz w:val="28"/>
      <w:szCs w:val="28"/>
    </w:rPr>
  </w:style>
  <w:style w:type="character" w:customStyle="1" w:styleId="51">
    <w:name w:val="标题 5 Char"/>
    <w:basedOn w:val="22"/>
    <w:link w:val="6"/>
    <w:qFormat/>
    <w:uiPriority w:val="9"/>
    <w:rPr>
      <w:b/>
      <w:bCs/>
      <w:kern w:val="2"/>
      <w:sz w:val="28"/>
      <w:szCs w:val="28"/>
    </w:rPr>
  </w:style>
  <w:style w:type="character" w:customStyle="1" w:styleId="52">
    <w:name w:val="标题 6 Char"/>
    <w:basedOn w:val="22"/>
    <w:link w:val="7"/>
    <w:qFormat/>
    <w:uiPriority w:val="9"/>
    <w:rPr>
      <w:rFonts w:asciiTheme="majorHAnsi" w:hAnsiTheme="majorHAnsi" w:eastAsiaTheme="majorEastAsia" w:cstheme="majorBidi"/>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5" Type="http://schemas.openxmlformats.org/officeDocument/2006/relationships/fontTable" Target="fontTable.xml"/><Relationship Id="rId84" Type="http://schemas.openxmlformats.org/officeDocument/2006/relationships/numbering" Target="numbering.xml"/><Relationship Id="rId83" Type="http://schemas.openxmlformats.org/officeDocument/2006/relationships/customXml" Target="../customXml/item1.xml"/><Relationship Id="rId82" Type="http://schemas.openxmlformats.org/officeDocument/2006/relationships/oleObject" Target="embeddings/oleObject34.bin"/><Relationship Id="rId81" Type="http://schemas.openxmlformats.org/officeDocument/2006/relationships/oleObject" Target="embeddings/oleObject33.bin"/><Relationship Id="rId80" Type="http://schemas.openxmlformats.org/officeDocument/2006/relationships/oleObject" Target="embeddings/oleObject32.bin"/><Relationship Id="rId8" Type="http://schemas.openxmlformats.org/officeDocument/2006/relationships/footer" Target="footer3.xml"/><Relationship Id="rId79" Type="http://schemas.openxmlformats.org/officeDocument/2006/relationships/image" Target="media/image31.wmf"/><Relationship Id="rId78" Type="http://schemas.openxmlformats.org/officeDocument/2006/relationships/oleObject" Target="embeddings/oleObject31.bin"/><Relationship Id="rId77" Type="http://schemas.openxmlformats.org/officeDocument/2006/relationships/oleObject" Target="embeddings/oleObject30.bin"/><Relationship Id="rId76" Type="http://schemas.openxmlformats.org/officeDocument/2006/relationships/oleObject" Target="embeddings/oleObject29.bin"/><Relationship Id="rId75" Type="http://schemas.openxmlformats.org/officeDocument/2006/relationships/image" Target="media/image30.wmf"/><Relationship Id="rId74" Type="http://schemas.openxmlformats.org/officeDocument/2006/relationships/oleObject" Target="embeddings/oleObject28.bin"/><Relationship Id="rId73" Type="http://schemas.openxmlformats.org/officeDocument/2006/relationships/oleObject" Target="embeddings/oleObject27.bin"/><Relationship Id="rId72" Type="http://schemas.openxmlformats.org/officeDocument/2006/relationships/image" Target="media/image29.wmf"/><Relationship Id="rId71" Type="http://schemas.openxmlformats.org/officeDocument/2006/relationships/oleObject" Target="embeddings/oleObject26.bin"/><Relationship Id="rId70" Type="http://schemas.openxmlformats.org/officeDocument/2006/relationships/image" Target="media/image28.wmf"/><Relationship Id="rId7" Type="http://schemas.openxmlformats.org/officeDocument/2006/relationships/footer" Target="footer2.xml"/><Relationship Id="rId69" Type="http://schemas.openxmlformats.org/officeDocument/2006/relationships/oleObject" Target="embeddings/oleObject25.bin"/><Relationship Id="rId68" Type="http://schemas.openxmlformats.org/officeDocument/2006/relationships/image" Target="media/image27.wmf"/><Relationship Id="rId67" Type="http://schemas.openxmlformats.org/officeDocument/2006/relationships/oleObject" Target="embeddings/oleObject24.bin"/><Relationship Id="rId66" Type="http://schemas.openxmlformats.org/officeDocument/2006/relationships/image" Target="media/image26.wmf"/><Relationship Id="rId65" Type="http://schemas.openxmlformats.org/officeDocument/2006/relationships/oleObject" Target="embeddings/oleObject23.bin"/><Relationship Id="rId64" Type="http://schemas.openxmlformats.org/officeDocument/2006/relationships/image" Target="media/image25.wmf"/><Relationship Id="rId63" Type="http://schemas.openxmlformats.org/officeDocument/2006/relationships/oleObject" Target="embeddings/oleObject22.bin"/><Relationship Id="rId62" Type="http://schemas.openxmlformats.org/officeDocument/2006/relationships/image" Target="media/image24.wmf"/><Relationship Id="rId61" Type="http://schemas.openxmlformats.org/officeDocument/2006/relationships/oleObject" Target="embeddings/oleObject21.bin"/><Relationship Id="rId60" Type="http://schemas.openxmlformats.org/officeDocument/2006/relationships/image" Target="media/image23.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22.wmf"/><Relationship Id="rId57" Type="http://schemas.openxmlformats.org/officeDocument/2006/relationships/oleObject" Target="embeddings/oleObject19.bin"/><Relationship Id="rId56" Type="http://schemas.openxmlformats.org/officeDocument/2006/relationships/image" Target="media/image21.wmf"/><Relationship Id="rId55" Type="http://schemas.openxmlformats.org/officeDocument/2006/relationships/oleObject" Target="embeddings/oleObject18.bin"/><Relationship Id="rId54" Type="http://schemas.openxmlformats.org/officeDocument/2006/relationships/image" Target="media/image20.wmf"/><Relationship Id="rId53" Type="http://schemas.openxmlformats.org/officeDocument/2006/relationships/oleObject" Target="embeddings/oleObject17.bin"/><Relationship Id="rId52" Type="http://schemas.openxmlformats.org/officeDocument/2006/relationships/image" Target="media/image19.wmf"/><Relationship Id="rId51" Type="http://schemas.openxmlformats.org/officeDocument/2006/relationships/oleObject" Target="embeddings/oleObject16.bin"/><Relationship Id="rId50" Type="http://schemas.openxmlformats.org/officeDocument/2006/relationships/image" Target="media/image18.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17.wmf"/><Relationship Id="rId47" Type="http://schemas.openxmlformats.org/officeDocument/2006/relationships/oleObject" Target="embeddings/oleObject14.bin"/><Relationship Id="rId46" Type="http://schemas.openxmlformats.org/officeDocument/2006/relationships/image" Target="media/image16.wmf"/><Relationship Id="rId45" Type="http://schemas.openxmlformats.org/officeDocument/2006/relationships/oleObject" Target="embeddings/oleObject13.bin"/><Relationship Id="rId44" Type="http://schemas.openxmlformats.org/officeDocument/2006/relationships/image" Target="media/image15.wmf"/><Relationship Id="rId43" Type="http://schemas.openxmlformats.org/officeDocument/2006/relationships/oleObject" Target="embeddings/oleObject12.bin"/><Relationship Id="rId42" Type="http://schemas.openxmlformats.org/officeDocument/2006/relationships/image" Target="media/image14.wmf"/><Relationship Id="rId41" Type="http://schemas.openxmlformats.org/officeDocument/2006/relationships/oleObject" Target="embeddings/oleObject11.bin"/><Relationship Id="rId40" Type="http://schemas.openxmlformats.org/officeDocument/2006/relationships/image" Target="media/image13.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12.wmf"/><Relationship Id="rId37" Type="http://schemas.openxmlformats.org/officeDocument/2006/relationships/oleObject" Target="embeddings/oleObject9.bin"/><Relationship Id="rId36" Type="http://schemas.openxmlformats.org/officeDocument/2006/relationships/image" Target="media/image11.wmf"/><Relationship Id="rId35" Type="http://schemas.openxmlformats.org/officeDocument/2006/relationships/oleObject" Target="embeddings/oleObject8.bin"/><Relationship Id="rId34" Type="http://schemas.openxmlformats.org/officeDocument/2006/relationships/image" Target="media/image10.wmf"/><Relationship Id="rId33" Type="http://schemas.openxmlformats.org/officeDocument/2006/relationships/oleObject" Target="embeddings/oleObject7.bin"/><Relationship Id="rId32" Type="http://schemas.openxmlformats.org/officeDocument/2006/relationships/oleObject" Target="embeddings/oleObject6.bin"/><Relationship Id="rId31" Type="http://schemas.openxmlformats.org/officeDocument/2006/relationships/image" Target="media/image9.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4.bin"/><Relationship Id="rId27" Type="http://schemas.openxmlformats.org/officeDocument/2006/relationships/image" Target="media/image7.wmf"/><Relationship Id="rId26" Type="http://schemas.openxmlformats.org/officeDocument/2006/relationships/oleObject" Target="embeddings/oleObject3.bin"/><Relationship Id="rId25" Type="http://schemas.openxmlformats.org/officeDocument/2006/relationships/image" Target="media/image6.wmf"/><Relationship Id="rId24" Type="http://schemas.openxmlformats.org/officeDocument/2006/relationships/oleObject" Target="embeddings/oleObject2.bin"/><Relationship Id="rId23" Type="http://schemas.openxmlformats.org/officeDocument/2006/relationships/image" Target="media/image5.wmf"/><Relationship Id="rId22" Type="http://schemas.openxmlformats.org/officeDocument/2006/relationships/oleObject" Target="embeddings/oleObject1.bin"/><Relationship Id="rId21" Type="http://schemas.openxmlformats.org/officeDocument/2006/relationships/image" Target="media/image4.emf"/><Relationship Id="rId20" Type="http://schemas.openxmlformats.org/officeDocument/2006/relationships/package" Target="embeddings/Microsoft_Visio___2.vsdx"/><Relationship Id="rId2" Type="http://schemas.openxmlformats.org/officeDocument/2006/relationships/settings" Target="settings.xml"/><Relationship Id="rId19" Type="http://schemas.openxmlformats.org/officeDocument/2006/relationships/image" Target="media/image3.emf"/><Relationship Id="rId18" Type="http://schemas.openxmlformats.org/officeDocument/2006/relationships/package" Target="embeddings/Microsoft_Visio___1.vsdx"/><Relationship Id="rId17" Type="http://schemas.openxmlformats.org/officeDocument/2006/relationships/image" Target="media/image2.emf"/><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7"/>
    <customShpInfo spid="_x0000_s1028"/>
    <customShpInfo spid="_x0000_s1026"/>
    <customShpInfo spid="_x0000_s1025"/>
    <customShpInfo spid="_x0000_s2050"/>
    <customShpInfo spid="_x0000_s21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24</Pages>
  <Words>3405</Words>
  <Characters>4240</Characters>
  <Lines>99</Lines>
  <Paragraphs>27</Paragraphs>
  <TotalTime>18</TotalTime>
  <ScaleCrop>false</ScaleCrop>
  <LinksUpToDate>false</LinksUpToDate>
  <CharactersWithSpaces>4750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2024-12-12T00:56:00Z</dcterms:created>
  <dc:creator>Lenovo User</dc:creator>
  <cp:lastModifiedBy>Bruis Kim</cp:lastModifiedBy>
  <cp:lastPrinted>2020-03-27T03:01:00Z</cp:lastPrinted>
  <dcterms:modified xsi:type="dcterms:W3CDTF">2025-09-15T14:49:49Z</dcterms:modified>
  <dc:title>JJF</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MTEquationNumber2">
    <vt:lpwstr>(#S1.#E1)</vt:lpwstr>
  </property>
  <property fmtid="{D5CDD505-2E9C-101B-9397-08002B2CF9AE}" pid="4" name="MTEquationSection">
    <vt:lpwstr>1</vt:lpwstr>
  </property>
  <property fmtid="{D5CDD505-2E9C-101B-9397-08002B2CF9AE}" pid="5" name="MTWinEqns">
    <vt:bool>true</vt:bool>
  </property>
  <property fmtid="{D5CDD505-2E9C-101B-9397-08002B2CF9AE}" pid="6" name="ICV">
    <vt:lpwstr>DD14E88F4946420C952662AE22A186D1_13</vt:lpwstr>
  </property>
  <property fmtid="{D5CDD505-2E9C-101B-9397-08002B2CF9AE}" pid="7" name="KSOTemplateDocerSaveRecord">
    <vt:lpwstr>eyJoZGlkIjoiMzEwNTM5NzYwMDRjMzkwZTVkZjY2ODkwMGIxNGU0OTUiLCJ1c2VySWQiOiI1ODE2NTg3NjIifQ==</vt:lpwstr>
  </property>
</Properties>
</file>